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Pr>
        <w:spacing w:line="560" w:lineRule="exact"/>
        <w:jc w:val="center"/>
        <w:rPr>
          <w:rFonts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广州T.I.T双鱼文体数字产业园燕子岗南路13号羽毛球馆合作运营项目</w:t>
      </w:r>
    </w:p>
    <w:p>
      <w:pPr>
        <w:spacing w:line="560" w:lineRule="exact"/>
        <w:jc w:val="center"/>
        <w:rPr>
          <w:rFonts w:asciiTheme="majorEastAsia" w:hAnsiTheme="majorEastAsia" w:eastAsiaTheme="majorEastAsia" w:cstheme="majorEastAsia"/>
          <w:b/>
          <w:bCs/>
          <w:sz w:val="52"/>
          <w:szCs w:val="52"/>
        </w:rPr>
      </w:pPr>
    </w:p>
    <w:p>
      <w:pPr>
        <w:spacing w:line="560" w:lineRule="exact"/>
        <w:jc w:val="center"/>
        <w:rPr>
          <w:rFonts w:asciiTheme="majorEastAsia" w:hAnsiTheme="majorEastAsia" w:eastAsiaTheme="majorEastAsia" w:cstheme="majorEastAsia"/>
          <w:b/>
          <w:bCs/>
          <w:sz w:val="52"/>
          <w:szCs w:val="52"/>
        </w:rPr>
      </w:pPr>
    </w:p>
    <w:p>
      <w:pPr>
        <w:spacing w:line="560" w:lineRule="exact"/>
        <w:jc w:val="center"/>
        <w:rPr>
          <w:rFonts w:asciiTheme="majorEastAsia" w:hAnsiTheme="majorEastAsia" w:eastAsiaTheme="majorEastAsia" w:cstheme="majorEastAsia"/>
          <w:b/>
          <w:bCs/>
          <w:sz w:val="52"/>
          <w:szCs w:val="52"/>
        </w:rPr>
      </w:pPr>
    </w:p>
    <w:p>
      <w:pPr>
        <w:spacing w:line="560" w:lineRule="exact"/>
        <w:jc w:val="center"/>
        <w:rPr>
          <w:rFonts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color w:val="FF0000"/>
          <w:sz w:val="52"/>
          <w:szCs w:val="52"/>
        </w:rPr>
        <w:t>竞争性谈判文件</w:t>
      </w: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tabs>
          <w:tab w:val="left" w:pos="3366"/>
        </w:tabs>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项目单位：广州新仕诚企业发展股份有限公司</w:t>
      </w:r>
    </w:p>
    <w:p>
      <w:pPr>
        <w:tabs>
          <w:tab w:val="left" w:pos="3366"/>
        </w:tabs>
        <w:ind w:firstLine="960" w:firstLineChars="300"/>
        <w:rPr>
          <w:rFonts w:asciiTheme="majorEastAsia" w:hAnsiTheme="majorEastAsia" w:eastAsiaTheme="majorEastAsia" w:cstheme="majorEastAsia"/>
          <w:sz w:val="32"/>
          <w:szCs w:val="32"/>
        </w:rPr>
      </w:pPr>
    </w:p>
    <w:p>
      <w:pPr>
        <w:tabs>
          <w:tab w:val="left" w:pos="3366"/>
        </w:tabs>
        <w:jc w:val="left"/>
        <w:rPr>
          <w:rFonts w:asciiTheme="majorEastAsia" w:hAnsiTheme="majorEastAsia" w:eastAsiaTheme="majorEastAsia" w:cstheme="majorEastAsia"/>
          <w:sz w:val="32"/>
        </w:rPr>
      </w:pPr>
    </w:p>
    <w:p>
      <w:pPr>
        <w:tabs>
          <w:tab w:val="left" w:pos="3366"/>
        </w:tabs>
        <w:jc w:val="left"/>
        <w:rPr>
          <w:rFonts w:asciiTheme="majorEastAsia" w:hAnsiTheme="majorEastAsia" w:eastAsiaTheme="majorEastAsia" w:cstheme="majorEastAsia"/>
          <w:sz w:val="32"/>
        </w:rPr>
      </w:pPr>
    </w:p>
    <w:p>
      <w:pPr>
        <w:tabs>
          <w:tab w:val="left" w:pos="3366"/>
        </w:tabs>
        <w:jc w:val="left"/>
        <w:rPr>
          <w:rFonts w:asciiTheme="majorEastAsia" w:hAnsiTheme="majorEastAsia" w:eastAsiaTheme="majorEastAsia" w:cstheme="majorEastAsia"/>
          <w:sz w:val="32"/>
        </w:rPr>
      </w:pPr>
    </w:p>
    <w:p>
      <w:pPr>
        <w:pStyle w:val="2"/>
        <w:spacing w:after="138"/>
        <w:ind w:left="305"/>
        <w:rPr>
          <w:rFonts w:asciiTheme="majorEastAsia" w:hAnsiTheme="majorEastAsia" w:eastAsiaTheme="majorEastAsia" w:cstheme="majorEastAsia"/>
          <w:sz w:val="28"/>
          <w:szCs w:val="28"/>
        </w:rPr>
      </w:pPr>
      <w:bookmarkStart w:id="0" w:name="_Toc43645"/>
      <w:r>
        <w:rPr>
          <w:rFonts w:hint="eastAsia" w:asciiTheme="majorEastAsia" w:hAnsiTheme="majorEastAsia" w:eastAsiaTheme="majorEastAsia" w:cstheme="majorEastAsia"/>
          <w:sz w:val="28"/>
          <w:szCs w:val="28"/>
        </w:rPr>
        <w:t>温馨提示：合作运营商投标/报价特别注意事项</w:t>
      </w:r>
      <w:bookmarkEnd w:id="0"/>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一般情况下，投标/报价截止时间前半小时将开始接收投标/响应文件，投标/报价截止时间一到，将不接收任何投标/响应文件，因此，请适当提前到达。</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采购人有可能在相近时间有多个项目进行开标，请投标/报价合作运营商授权代表到达开标会场后按指示前往相应的会议室，或主动咨询工作人员，以免错误递交投标/响应文件。</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投标/报价供应商授权代表参加开标会的，请凭法定代表人证明及授权书、身份证原件进入开标会场。</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请仔细检查投标/响应文件格式中应盖章、签署之处是否有按要求盖公章、签名、签署日期。投标/响应文件需签名之处必须由当事人亲笔签署，法定代表人证明及授权书需法定代表人签字或签章处，应由法定代表人亲笔签署或加盖签章。</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人不对供应商登记获取采购文件时提交的相关资料的真实性负责，如合作运营商发现相关资料被盗用或复制，或出现同一合作运营商由两名或以上授权代表登记的，应遵循法律途径解决，追究侵权者责任。对一家合作运营商递交两份投标/响应文件的，评委会将按采购文件中有关无效投标/报价的规定处理。</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合作运营商在登记时提交了资料不代表其已通过资格、符合性审查，合作运营商应在投标/响应文件中另行提供。</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为了提高效率，节约社会交易成本与时间，希望获取了采购文件而决定不参加本次投标/报价的合作运营商，在投标/响应文件递交截止时间的3日前，按《投标/报价邀请函》中的联系方式，以书面形式告知我公司。对您的支持与配合，谨此致谢。</w:t>
      </w:r>
    </w:p>
    <w:p>
      <w:pPr>
        <w:numPr>
          <w:ilvl w:val="255"/>
          <w:numId w:val="0"/>
        </w:numPr>
        <w:spacing w:line="560" w:lineRule="exact"/>
        <w:ind w:firstLine="560" w:firstLineChars="200"/>
        <w:jc w:val="lef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28"/>
          <w:szCs w:val="28"/>
        </w:rPr>
        <w:t>由于交通、天气等状况、停车位已满等原因，建议投标/报价合作运营商代表提前15-30分钟到达开标会场，我公司所处位置有多路公共交通线路到达，具体如下：</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p>
    <w:p>
      <w:pPr>
        <w:numPr>
          <w:ilvl w:val="255"/>
          <w:numId w:val="0"/>
        </w:numPr>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drawing>
          <wp:inline distT="0" distB="0" distL="114300" distR="114300">
            <wp:extent cx="3276600" cy="3228975"/>
            <wp:effectExtent l="0" t="0" r="0" b="9525"/>
            <wp:docPr id="3" name="图片 3" descr="1655568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5568188"/>
                    <pic:cNvPicPr>
                      <a:picLocks noChangeAspect="1"/>
                    </pic:cNvPicPr>
                  </pic:nvPicPr>
                  <pic:blipFill>
                    <a:blip r:embed="rId4"/>
                    <a:stretch>
                      <a:fillRect/>
                    </a:stretch>
                  </pic:blipFill>
                  <pic:spPr>
                    <a:xfrm>
                      <a:off x="0" y="0"/>
                      <a:ext cx="3276600" cy="3228975"/>
                    </a:xfrm>
                    <a:prstGeom prst="rect">
                      <a:avLst/>
                    </a:prstGeom>
                  </pic:spPr>
                </pic:pic>
              </a:graphicData>
            </a:graphic>
          </wp:inline>
        </w:drawing>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p>
    <w:p>
      <w:pPr>
        <w:spacing w:after="2919"/>
        <w:ind w:right="192"/>
        <w:rPr>
          <w:rFonts w:hint="eastAsia" w:asciiTheme="majorEastAsia" w:hAnsiTheme="majorEastAsia" w:eastAsiaTheme="majorEastAsia" w:cstheme="majorEastAsia"/>
        </w:rPr>
      </w:pPr>
      <w:r>
        <w:rPr>
          <w:rFonts w:hint="eastAsia" w:asciiTheme="majorEastAsia" w:hAnsiTheme="majorEastAsia" w:eastAsiaTheme="majorEastAsia" w:cstheme="majorEastAsia"/>
        </w:rPr>
        <w:t>（本提示内容非采购文件的组成部分，仅为善意提醒。如有不一致，以采购文件为准。）</w:t>
      </w:r>
    </w:p>
    <w:p>
      <w:pPr>
        <w:spacing w:after="2919"/>
        <w:ind w:right="192"/>
        <w:rPr>
          <w:rFonts w:hint="eastAsia" w:asciiTheme="majorEastAsia" w:hAnsiTheme="majorEastAsia" w:eastAsiaTheme="majorEastAsia" w:cstheme="majorEastAsia"/>
        </w:rPr>
      </w:pPr>
    </w:p>
    <w:p>
      <w:pPr>
        <w:numPr>
          <w:ilvl w:val="255"/>
          <w:numId w:val="0"/>
        </w:numPr>
        <w:spacing w:line="560" w:lineRule="exact"/>
        <w:ind w:firstLine="643" w:firstLineChars="200"/>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第一章 谈判邀请</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广州新仕诚企业发展股份有限公司拟对以下项目进行竞争性谈判，欢迎符合资格条件的合作商参加。</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采购项目名称：广州T.I.T双鱼文体数字产业园燕子岗南路13号羽毛球馆合作运营项目；</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项目地址：广州市海珠区燕子岗南路13号内；</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项目内容及需求：内容详见第三章项目单位需求；</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合作运营方资格：</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1．合作运营方必须是中华人民共和国境内依法注册、合法存续，具有独立法人资格的民事主体；合作商须具备履行合同所必需的专业技术能力与服务能力。</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2.合作运营方所属行业为体育或经营范围内包含体育场馆运营相关的内容。</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合作运营方须在经营活动中没有重大违法记录、符合法律、行政法规规定，未被列入“信用中国”网站（www.creditchina.gov.cn）“记录失信被执行人、重大税收违法案件当事人名单、环境保护严重违法失信行为”记录名单【提供在“信用中国”网站的查询截图】。</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4.本项目不接受联合体参加竞争性谈判。</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5.合作运营方应同意谈判文件条款并作书面说明（填写响应文件格式《同意谈判文件条款说明》）</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6.合作运营方应对资格证明文件作书面说明（填写响应文件格式《关于资格证明文件的声明函》）</w:t>
      </w:r>
    </w:p>
    <w:p>
      <w:pPr>
        <w:spacing w:line="560" w:lineRule="exact"/>
        <w:ind w:firstLine="560" w:firstLineChars="200"/>
        <w:jc w:val="left"/>
        <w:rPr>
          <w:rFonts w:hint="eastAsia" w:asciiTheme="majorEastAsia" w:hAnsiTheme="majorEastAsia" w:eastAsiaTheme="majorEastAsia" w:cstheme="majorEastAsia"/>
          <w:sz w:val="28"/>
          <w:szCs w:val="28"/>
          <w:highlight w:val="none"/>
          <w:u w:val="none"/>
        </w:rPr>
      </w:pPr>
      <w:r>
        <w:rPr>
          <w:rFonts w:hint="eastAsia" w:asciiTheme="majorEastAsia" w:hAnsiTheme="majorEastAsia" w:eastAsiaTheme="majorEastAsia" w:cstheme="majorEastAsia"/>
          <w:sz w:val="28"/>
          <w:szCs w:val="28"/>
        </w:rPr>
        <w:t>7.</w:t>
      </w:r>
      <w:r>
        <w:rPr>
          <w:rFonts w:hint="eastAsia" w:asciiTheme="majorEastAsia" w:hAnsiTheme="majorEastAsia" w:eastAsiaTheme="majorEastAsia" w:cstheme="majorEastAsia"/>
          <w:sz w:val="28"/>
          <w:szCs w:val="28"/>
          <w:highlight w:val="none"/>
        </w:rPr>
        <w:t>本项目须缴纳谈判保证金，金额为6万元人民币，合作运营方须在响应文件内附上相应的银行转账凭证，</w:t>
      </w:r>
      <w:r>
        <w:rPr>
          <w:rFonts w:hint="eastAsia" w:asciiTheme="majorEastAsia" w:hAnsiTheme="majorEastAsia" w:eastAsiaTheme="majorEastAsia" w:cstheme="majorEastAsia"/>
          <w:sz w:val="28"/>
          <w:szCs w:val="28"/>
          <w:highlight w:val="none"/>
          <w:u w:val="none"/>
        </w:rPr>
        <w:t>公示结束后7个工作日内一次性无息退还保证金。</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项目单位银行账户：</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开户名称：广州新仕诚企业发展股份有限公司</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开户行：中国银行广州珠影支行</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账号：736757744462</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提交谈判首次响应文件时间：公告期限内。</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递交响应文件方式：线下递交纸质+电子版响应文件。</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提交谈判响应文件地点：广州市海珠区新港中路397号T.I.T创意园品牌街28号2楼会议室。</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highlight w:val="none"/>
        </w:rPr>
        <w:t>谈判时间：暂定于2022年6月</w:t>
      </w:r>
      <w:r>
        <w:rPr>
          <w:rFonts w:hint="eastAsia" w:asciiTheme="majorEastAsia" w:hAnsiTheme="majorEastAsia" w:eastAsiaTheme="majorEastAsia" w:cstheme="majorEastAsia"/>
          <w:sz w:val="28"/>
          <w:szCs w:val="28"/>
          <w:highlight w:val="none"/>
          <w:lang w:val="en-US" w:eastAsia="zh-CN"/>
        </w:rPr>
        <w:t>30</w:t>
      </w:r>
      <w:r>
        <w:rPr>
          <w:rFonts w:hint="eastAsia" w:asciiTheme="majorEastAsia" w:hAnsiTheme="majorEastAsia" w:eastAsiaTheme="majorEastAsia" w:cstheme="majorEastAsia"/>
          <w:sz w:val="28"/>
          <w:szCs w:val="28"/>
          <w:highlight w:val="none"/>
        </w:rPr>
        <w:t>日</w:t>
      </w:r>
      <w:r>
        <w:rPr>
          <w:rFonts w:hint="eastAsia" w:asciiTheme="majorEastAsia" w:hAnsiTheme="majorEastAsia" w:eastAsiaTheme="majorEastAsia" w:cstheme="majorEastAsia"/>
          <w:sz w:val="28"/>
          <w:szCs w:val="28"/>
        </w:rPr>
        <w:t>，以项目单位最终通知为准。</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谈判地点：广州市海珠区新港中路397号T.I.T创意园品牌街28号2楼会议室。</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本公告期限：自公告</w:t>
      </w:r>
      <w:r>
        <w:rPr>
          <w:rFonts w:hint="eastAsia" w:asciiTheme="majorEastAsia" w:hAnsiTheme="majorEastAsia" w:eastAsiaTheme="majorEastAsia" w:cstheme="majorEastAsia"/>
          <w:sz w:val="28"/>
          <w:szCs w:val="28"/>
          <w:lang w:val="en-US" w:eastAsia="zh-CN"/>
        </w:rPr>
        <w:t>发出</w:t>
      </w:r>
      <w:r>
        <w:rPr>
          <w:rFonts w:hint="eastAsia" w:asciiTheme="majorEastAsia" w:hAnsiTheme="majorEastAsia" w:eastAsiaTheme="majorEastAsia" w:cstheme="majorEastAsia"/>
          <w:sz w:val="28"/>
          <w:szCs w:val="28"/>
        </w:rPr>
        <w:t>之日起</w:t>
      </w:r>
      <w:r>
        <w:rPr>
          <w:rFonts w:hint="eastAsia" w:asciiTheme="majorEastAsia" w:hAnsiTheme="majorEastAsia" w:eastAsiaTheme="majorEastAsia" w:cstheme="majorEastAsia"/>
          <w:sz w:val="28"/>
          <w:szCs w:val="28"/>
          <w:highlight w:val="none"/>
          <w:lang w:val="en-US" w:eastAsia="zh-CN"/>
        </w:rPr>
        <w:t>3</w:t>
      </w:r>
      <w:r>
        <w:rPr>
          <w:rFonts w:hint="eastAsia" w:asciiTheme="majorEastAsia" w:hAnsiTheme="majorEastAsia" w:eastAsiaTheme="majorEastAsia" w:cstheme="majorEastAsia"/>
          <w:sz w:val="28"/>
          <w:szCs w:val="28"/>
          <w:highlight w:val="none"/>
        </w:rPr>
        <w:t>个自然日</w:t>
      </w:r>
      <w:r>
        <w:rPr>
          <w:rFonts w:hint="eastAsia" w:asciiTheme="majorEastAsia" w:hAnsiTheme="majorEastAsia" w:eastAsiaTheme="majorEastAsia" w:cstheme="majorEastAsia"/>
          <w:sz w:val="28"/>
          <w:szCs w:val="28"/>
        </w:rPr>
        <w:t>内</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联系事项：</w:t>
      </w:r>
    </w:p>
    <w:p>
      <w:p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项目单位名称：广州新仕诚企业发展股份有限公司</w:t>
      </w:r>
    </w:p>
    <w:p>
      <w:p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联系地址：广州市新港中路397号T.I.T创意园品牌街28号</w:t>
      </w:r>
    </w:p>
    <w:p>
      <w:p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联 系 人：邓先生</w:t>
      </w:r>
    </w:p>
    <w:p>
      <w:p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联系电话：18520669000</w:t>
      </w:r>
    </w:p>
    <w:p>
      <w:pPr>
        <w:numPr>
          <w:ilvl w:val="0"/>
          <w:numId w:val="1"/>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本项目的所有相关公告会在广州新仕诚企业发展股份有限公司网站（http: www.cntit.com.cn ）上公布，公布之日即视为有效送达之日，不再另行通知。结果公示期为三个自然日，如合作运营方认为结果内容损害其权益的，可以在公示期期满之日起三个工作日内以书面形式向项目单位提出质疑。</w:t>
      </w:r>
    </w:p>
    <w:p>
      <w:pPr>
        <w:spacing w:line="560" w:lineRule="exact"/>
        <w:ind w:firstLine="2249" w:firstLineChars="70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第二章 合作运营方须知</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1.总体说明</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1.1.适用范围</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本项目仅适用于本谈判文件所述的报价内容。</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1.2.合格的合作运营方</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1.2.1.具有符合谈判邀请中合格合作运营方资格要求及实质性要求；</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1.2.2.已在本项目登记及获取谈判文件的合作运营方。</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1.3.合作运营方应承担所有参与本次报价的全部费用。</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1.4.合格的服务</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1.4.1.合作运营方提供的所有服务，其来源均应符合相关法律法规的规定。</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1.4.2.</w:t>
      </w:r>
      <w:r>
        <w:rPr>
          <w:rFonts w:hint="eastAsia" w:asciiTheme="majorEastAsia" w:hAnsiTheme="majorEastAsia" w:eastAsiaTheme="majorEastAsia" w:cstheme="majorEastAsia"/>
          <w:sz w:val="28"/>
          <w:szCs w:val="28"/>
          <w:highlight w:val="none"/>
        </w:rPr>
        <w:t>本项目合作运营方注册地址仅限广州市内</w:t>
      </w:r>
      <w:r>
        <w:rPr>
          <w:rFonts w:hint="eastAsia" w:asciiTheme="majorEastAsia" w:hAnsiTheme="majorEastAsia" w:eastAsiaTheme="majorEastAsia" w:cstheme="majorEastAsia"/>
          <w:sz w:val="28"/>
          <w:szCs w:val="28"/>
          <w:highlight w:val="none"/>
        </w:rPr>
        <w:t>。</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1.4.3.项目单位将拒绝接受不合格的服务。</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1.5.定义</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1.5.1.“项目单位”系指本谈判文件报价邀请中所叙述的采购人。</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1.5.2.“合作运营方”系指向</w:t>
      </w:r>
      <w:r>
        <w:rPr>
          <w:rFonts w:hint="eastAsia" w:asciiTheme="majorEastAsia" w:hAnsiTheme="majorEastAsia" w:eastAsiaTheme="majorEastAsia" w:cstheme="majorEastAsia"/>
          <w:sz w:val="28"/>
          <w:szCs w:val="28"/>
          <w:lang w:val="en-US" w:eastAsia="zh-CN"/>
        </w:rPr>
        <w:t>项目单位</w:t>
      </w:r>
      <w:r>
        <w:rPr>
          <w:rFonts w:hint="eastAsia" w:asciiTheme="majorEastAsia" w:hAnsiTheme="majorEastAsia" w:eastAsiaTheme="majorEastAsia" w:cstheme="majorEastAsia"/>
          <w:sz w:val="28"/>
          <w:szCs w:val="28"/>
        </w:rPr>
        <w:t>构提交报价响应文件的供应商。</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1.5.3.“响应文件”系指合作运营方提交的响应本次项目的响应文件。</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1.5.4.“甲方”系指采购人或采购人指定的最终使用单位。</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1.5.5.“乙方”系指成交供应商。</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1.5.6.“日期”指公历日,“时间”指北京时间，24小时制。</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1.5.7.“服务”系指谈判文件规定供应商须承担的相关服务。</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1.5.8.“书面形式”系指纸质文件形式，除非特别说明，不包含电子邮件、手机短信等非纸质形式。</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1.5.9.“不可抗力”系指战争、严重火灾、洪水、台风、地震等或其他采购人（或采购人指定的最终使用单位）、成交供应商双方认定的不可抗力事件。</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1.5.10.“实质性响应”系指符合谈判文件实质性要求、条款、条件和规定，且没有重大偏离或保留。重大偏离或保留指影响到谈判文件规定的范围、质量和性能，或限制采购人的权利和供应商的义务的规定，而纠正这些偏离将影响到其他递交实质性响应谈判文件的供应商的公平竞争地位。</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1.5.11.谈判文件中的标题或题名仅起引导作用，而不应该作为对谈判文件内容的理解或解释。</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1.6.知识产权</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1.6.1.合作运营方必须保证，采购人在中华人民共和国境内使用报价货物、资料、技术、服务或其任何一部分时，享有不受限制的无偿使用权，不会产生因第三方提出侵犯其专利权、商标权或其它知识产权而引起的法律或经济纠纷。如供应商不拥有相应的知识产权，则应由供应商负责获得并提供给采购人使用，其报价中必须包括合法获取该知识产权的一切相关费用，如供应商没有单独列出的，视为已包含在相应报价中。一旦使用供应商提供的产品或服务，采购人不再承担第三方提出侵犯其专利权、商标权或其它知识产权而引起的法律或经济纠纷。</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1.7.关联企业</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1.7.1.除联合体外，法定代表人或单位负责人为同一个人或者存在直接控股、管理关系的不同合作运营方。</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1.7.2.同一合作运营方授权不同的人员参与同一项目的报价，则评审时将同时被拒绝。</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1.8.谈判文件的解释权</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本谈判文件的解释权归“广州新仕诚企业发展股份有限公司”所有。</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2.谈判文件</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2.1.谈判文件的组成</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（1）谈判邀请</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（2）合作运营方须知</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（3）项目单位需求</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（4）响应文件要求</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（5）谈判细则</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2.2.谈判文件的澄清或修改</w:t>
      </w:r>
    </w:p>
    <w:p>
      <w:pPr>
        <w:spacing w:line="56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2.2.1．项目单位对谈判文件进行必要的澄清或修改的，澄清或者修改的内容可能影响响应文件编制的，</w:t>
      </w:r>
      <w:r>
        <w:rPr>
          <w:rFonts w:hint="eastAsia" w:asciiTheme="majorEastAsia" w:hAnsiTheme="majorEastAsia" w:eastAsiaTheme="majorEastAsia" w:cstheme="majorEastAsia"/>
          <w:sz w:val="28"/>
          <w:szCs w:val="28"/>
          <w:lang w:val="en-US" w:eastAsia="zh-CN"/>
        </w:rPr>
        <w:t>将</w:t>
      </w:r>
      <w:r>
        <w:rPr>
          <w:rFonts w:hint="eastAsia" w:asciiTheme="majorEastAsia" w:hAnsiTheme="majorEastAsia" w:eastAsiaTheme="majorEastAsia" w:cstheme="majorEastAsia"/>
          <w:sz w:val="28"/>
          <w:szCs w:val="28"/>
        </w:rPr>
        <w:t>在指定媒体上发布公告，并通知所有登记及获取谈判文件的</w:t>
      </w:r>
      <w:r>
        <w:rPr>
          <w:rFonts w:hint="eastAsia" w:asciiTheme="majorEastAsia" w:hAnsiTheme="majorEastAsia" w:eastAsiaTheme="majorEastAsia" w:cstheme="majorEastAsia"/>
          <w:sz w:val="28"/>
          <w:szCs w:val="28"/>
          <w:lang w:val="en-US" w:eastAsia="zh-CN"/>
        </w:rPr>
        <w:t>合作运营方</w:t>
      </w:r>
      <w:r>
        <w:rPr>
          <w:rFonts w:hint="eastAsia" w:asciiTheme="majorEastAsia" w:hAnsiTheme="majorEastAsia" w:eastAsiaTheme="majorEastAsia" w:cstheme="majorEastAsia"/>
          <w:sz w:val="28"/>
          <w:szCs w:val="28"/>
        </w:rPr>
        <w:t>。</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2.2.2.登记及获取谈判文件的合作运营方在收到澄清或修改通知后应按要求以书面形式（可以电子邮件或传真形式）予以确认，该澄清或修改的内容为谈判文件的组成部分，合作运营方在提交首次响应文件截止时间前不予书面确认的，视为已收到通知且对内容无异议。</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2.2.3.采购过程中的一切修改文件或补充文件一旦确认后与谈判文件具有同等法律效力，合作运营方有责任履行相应的义务。</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2.2.4.合作运营方在规定的时间内未对谈判文件提出询问、质疑的，将视其为无异议。对谈判文件中描述有歧义或前后不一致的地方，谈判小组有权进行评判，但对同一条款的评判应适用于每个合作运营方。</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3.报价总则</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 响应文件的编写</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3.2.1.合作运营方应仔细阅读谈判文件的所有内容，按谈判文件的要求制作并递交响应文件，并保证所提供的全部资料的真实性、准确性，以确保其对谈判文件做出实质性响应；否则，将拒绝其报价。供应商若提供不真实的材料，无论其材料是否重要，都将有可能直接导致报价无效，并承担由此产生的法律责任。</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3.2.2.语言：响应文件和来往函件应用简体中文书写，合作运营方提供的支持文件、技术资料和印刷的文献可以用其他语言，但相应内容应附有中文翻译文本（经公证处公证），对不同文字文本响应文件的解释发生异议的，以中文文本为准。</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3.2.3.合作运营方应用人民币报价。响应文件的大写金额和小写金额不一致的，以大写金额为准；</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3.2.4.本项目要求总报价应包括项目需求的所有费用，以及合作运营方认为必要的其他服务费用；如果合作运营方在成交并签署合同后，项目单位将不再支付任何费用。</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3.2.5.报价栏项目中如出现唯一的数字“0”、“/”等谈判小组视为已包含在总报价中的符号，则视报价为零，并已包含在总报价中；如出现空白或出现负数，视为未响应。</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3.2.6.谈判文件中出现需由法定代表人或其授权代表签署的、需要加盖合作运营方公章之处、出现合作运营方自行增加的需要签署及盖章之处，均应按要求签署盖章。</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3.2.7.合作运营方在编写响应文件时，应填写谈判文件要求的内容及附件，并根据实际情况补充评审所需资料，响应文件只填写和提供了谈判文件要求的部分内容和附件，或没有提供谈判文件中所要求的全部资料及数据，或没有按实际情况提供报价所需资料的，其可能导致的结果和责任由合作运营方自行承担。</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3.2.8.项目单位不接受电报、电话、电传、传真等非约定形式报价。</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3.3.响应文件的构成</w:t>
      </w:r>
    </w:p>
    <w:p>
      <w:pPr>
        <w:spacing w:line="560" w:lineRule="exact"/>
        <w:rPr>
          <w:rFonts w:asciiTheme="majorEastAsia" w:hAnsiTheme="majorEastAsia" w:eastAsiaTheme="majorEastAsia" w:cstheme="majorEastAsia"/>
          <w:sz w:val="28"/>
          <w:szCs w:val="28"/>
          <w:highlight w:val="yellow"/>
        </w:rPr>
      </w:pPr>
      <w:r>
        <w:rPr>
          <w:rFonts w:hint="eastAsia" w:asciiTheme="majorEastAsia" w:hAnsiTheme="majorEastAsia" w:eastAsiaTheme="majorEastAsia" w:cstheme="majorEastAsia"/>
          <w:sz w:val="28"/>
          <w:szCs w:val="28"/>
          <w:highlight w:val="none"/>
        </w:rPr>
        <w:t>合作运营方编写的响应文件格式详见第四章响应文件要求。</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3.3.1.合作运营方应按照谈判文件的要求编制响应文件。</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3.3.2.合作运营方必须自行承担因其响应文件的任何错漏而导致的一切后果。</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3.4.报价的修改及撤回</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3.4.1.在报价截止时间前，合作运营方可以以书面通知的形式向项目单位修改或撤回其响应文件。修改后的响应文件须按照本项目规定的报价截止时间之前重新递交，否则，项目单位将拒绝接受修改后的响应文件。</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3.4.2.在报价截止时间后，合作运营方不得对其响应文件作任何修改。从报价截止时间至实际谈判日期之前，合作运营方不允许撤回其响应文件。</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4.报价总则</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4.1.报价</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4.1.1. 全部响应文件应一式二份，正本一份，副本一份，副本可由正本复印而成；响应文件电子版1 份，光盘或U盘介质，WORD或EXCEL格式，不留密码，无病毒，内容应与合作运营方打印产生的纸质响应文件内容一致，如有不同，以纸质响应文件为准。除特别注明外，响应文件应提交纸质文件。如果正本与副本不符，应以正本为准。响应文件应由合作运营方的合法授权代表正式签署，如有任何更改应由原签署人签字。无论报价结果如何，合作运营方的全部响应文件均不退回。</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4.1.2.所有响应文件应在截止时间前送达谈判文件指定地点，交予专职负责人,任何迟于这个时间的响应文件视作无效。</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4.1.3. 所有响应文件必须封入密封的信封或包装，在封口上加盖报价单位公章，并在每一信封或包装的封面上标明：</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（正本/副本）</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4.1.4. 项目单位不接受电报、电话、电传、传真、邮寄报价。</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4.2. 谈判项目保证金</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本项目收取谈判项目保证金，</w:t>
      </w:r>
      <w:r>
        <w:rPr>
          <w:rFonts w:hint="eastAsia" w:asciiTheme="majorEastAsia" w:hAnsiTheme="majorEastAsia" w:eastAsiaTheme="majorEastAsia" w:cstheme="majorEastAsia"/>
          <w:sz w:val="28"/>
          <w:szCs w:val="28"/>
          <w:highlight w:val="none"/>
        </w:rPr>
        <w:t>公示结束后7个工作日内一次性无息退还保证金</w:t>
      </w:r>
      <w:r>
        <w:rPr>
          <w:rFonts w:hint="eastAsia" w:asciiTheme="majorEastAsia" w:hAnsiTheme="majorEastAsia" w:eastAsiaTheme="majorEastAsia" w:cstheme="majorEastAsia"/>
          <w:sz w:val="28"/>
          <w:szCs w:val="28"/>
        </w:rPr>
        <w:t>。</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5.谈判、成交与签约</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详见《第五章 谈判细则》</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6.咨询、质疑与投诉</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6.1合作运营方可以向项目单位提出询问和质疑，项目单位依照相关规定就事项作出答复。</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6.2合作运营方认为采购过程和中标结果使自己的权益受到损害的，可以在知道或者应知其权益受到损害之日起3个工作日内，以书面形式向项目单位提出质疑，逾期质疑无效。</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6.3合作运营方在法定质疑期内须一次性提出针对同一采购程序环节的质疑。</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6.4质疑函应当署名。质疑合作运营方为自然人的，应当由授权代表或法人签字并加盖公章。质疑内容不得含有虚假、恶意成份。依照谁主张谁举证的原则，提出质疑者必须同时提交相关确凿的证据材料和注明证据的确切来源，证据来源必须合法，采购方有权将质疑函转发质疑事项各关联方，请其作出解释说明。不得捏造事实、滥用维权扰乱采购秩序。</w:t>
      </w:r>
    </w:p>
    <w:p>
      <w:pPr>
        <w:spacing w:line="560" w:lineRule="exact"/>
        <w:rPr>
          <w:rFonts w:asciiTheme="majorEastAsia" w:hAnsiTheme="majorEastAsia" w:eastAsiaTheme="majorEastAsia" w:cstheme="majorEastAsia"/>
          <w:b/>
          <w:bCs/>
          <w:sz w:val="32"/>
          <w:szCs w:val="32"/>
        </w:rPr>
      </w:pPr>
      <w:bookmarkStart w:id="1" w:name="_GoBack"/>
      <w:bookmarkEnd w:id="1"/>
    </w:p>
    <w:p>
      <w:pPr>
        <w:numPr>
          <w:ilvl w:val="255"/>
          <w:numId w:val="0"/>
        </w:numPr>
        <w:tabs>
          <w:tab w:val="left" w:pos="3397"/>
        </w:tabs>
        <w:spacing w:line="560" w:lineRule="exact"/>
        <w:ind w:firstLine="643" w:firstLineChars="200"/>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b/>
          <w:bCs/>
          <w:sz w:val="32"/>
          <w:szCs w:val="32"/>
        </w:rPr>
        <w:t>第三章 项目单位需求</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p>
    <w:p>
      <w:pPr>
        <w:numPr>
          <w:ilvl w:val="255"/>
          <w:numId w:val="0"/>
        </w:num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1.合作经营项目概况</w:t>
      </w:r>
    </w:p>
    <w:p>
      <w:pPr>
        <w:numPr>
          <w:ilvl w:val="255"/>
          <w:numId w:val="0"/>
        </w:num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与项目单位广州新仕诚企业发展股份有限公司（以下简称“新仕诚公司”）合作运营T.I.T双鱼文体数字产业园燕子岗南路13号羽毛球馆项目，由新仕诚公司提供球馆场地和球馆配套设施设备（以球馆现状交付），合作运营方负责经营服务，包括派驻管理运营团队、培训教学、组织相关比赛等。</w:t>
      </w:r>
    </w:p>
    <w:p>
      <w:pPr>
        <w:numPr>
          <w:ilvl w:val="255"/>
          <w:numId w:val="0"/>
        </w:num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2.经营场地基本情况</w:t>
      </w:r>
    </w:p>
    <w:p>
      <w:pPr>
        <w:numPr>
          <w:ilvl w:val="255"/>
          <w:numId w:val="0"/>
        </w:numPr>
        <w:spacing w:line="560" w:lineRule="exact"/>
        <w:ind w:firstLine="560" w:firstLineChars="200"/>
        <w:jc w:val="left"/>
        <w:rPr>
          <w:rFonts w:asciiTheme="majorEastAsia" w:hAnsiTheme="majorEastAsia" w:eastAsiaTheme="majorEastAsia" w:cstheme="majorEastAsia"/>
          <w:dstrike/>
          <w:sz w:val="28"/>
          <w:szCs w:val="28"/>
        </w:rPr>
      </w:pPr>
      <w:r>
        <w:rPr>
          <w:rFonts w:hint="eastAsia" w:asciiTheme="majorEastAsia" w:hAnsiTheme="majorEastAsia" w:eastAsiaTheme="majorEastAsia" w:cstheme="majorEastAsia"/>
          <w:sz w:val="28"/>
          <w:szCs w:val="28"/>
        </w:rPr>
        <w:t>该羽毛球馆坐落于燕子岗南路13号区域内，全场占地约1200平方米，共有7片羽毛球场，其中包含4片标准场，2片豪华场，1片贵宾场；</w:t>
      </w:r>
      <w:r>
        <w:rPr>
          <w:rFonts w:hint="eastAsia" w:asciiTheme="majorEastAsia" w:hAnsiTheme="majorEastAsia" w:eastAsiaTheme="majorEastAsia" w:cstheme="majorEastAsia"/>
          <w:sz w:val="28"/>
          <w:szCs w:val="28"/>
          <w:highlight w:val="none"/>
        </w:rPr>
        <w:t>设施包括空调、锅炉热水装置、配备独立男女洗浴室及卫生间、储物柜、前台等设施。</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3.合作模式</w:t>
      </w:r>
    </w:p>
    <w:p>
      <w:pPr>
        <w:spacing w:line="560" w:lineRule="exact"/>
        <w:ind w:firstLine="562" w:firstLineChars="200"/>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3.1新仕诚公司主要权利与义务</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3.1.1.新仕诚公司负责提供羽毛球馆作为运营场所，包括更衣室、休息室等区域的有关设施设备。</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3.1.2.羽毛球馆所有营业收入必须经新仕诚公司账户入账。</w:t>
      </w:r>
    </w:p>
    <w:p>
      <w:pPr>
        <w:spacing w:line="560" w:lineRule="exact"/>
        <w:ind w:firstLine="560" w:firstLineChars="200"/>
        <w:rPr>
          <w:rFonts w:asciiTheme="majorEastAsia" w:hAnsiTheme="majorEastAsia" w:eastAsiaTheme="majorEastAsia" w:cstheme="majorEastAsia"/>
          <w:sz w:val="28"/>
          <w:szCs w:val="28"/>
          <w:highlight w:val="yellow"/>
        </w:rPr>
      </w:pPr>
      <w:r>
        <w:rPr>
          <w:rFonts w:hint="eastAsia" w:asciiTheme="majorEastAsia" w:hAnsiTheme="majorEastAsia" w:eastAsiaTheme="majorEastAsia" w:cstheme="majorEastAsia"/>
          <w:sz w:val="28"/>
          <w:szCs w:val="28"/>
        </w:rPr>
        <w:t>3.1.3.</w:t>
      </w:r>
      <w:r>
        <w:rPr>
          <w:rFonts w:hint="eastAsia" w:asciiTheme="majorEastAsia" w:hAnsiTheme="majorEastAsia" w:eastAsiaTheme="majorEastAsia" w:cstheme="majorEastAsia"/>
          <w:sz w:val="28"/>
          <w:szCs w:val="28"/>
          <w:highlight w:val="none"/>
        </w:rPr>
        <w:t>新仕诚公司每月享有固定金额的保底营业收入（不低于</w:t>
      </w:r>
      <w:r>
        <w:rPr>
          <w:rFonts w:eastAsia="PMingLiU" w:asciiTheme="majorEastAsia" w:hAnsiTheme="majorEastAsia" w:cstheme="majorEastAsia"/>
          <w:sz w:val="28"/>
          <w:szCs w:val="28"/>
          <w:highlight w:val="none"/>
          <w:lang w:eastAsia="zh-TW"/>
        </w:rPr>
        <w:t>56400</w:t>
      </w:r>
      <w:r>
        <w:rPr>
          <w:rFonts w:hint="eastAsia" w:asciiTheme="minorEastAsia" w:hAnsiTheme="minorEastAsia" w:cstheme="majorEastAsia"/>
          <w:sz w:val="28"/>
          <w:szCs w:val="28"/>
          <w:highlight w:val="none"/>
        </w:rPr>
        <w:t>元</w:t>
      </w:r>
      <w:r>
        <w:rPr>
          <w:rFonts w:hint="eastAsia" w:asciiTheme="majorEastAsia" w:hAnsiTheme="majorEastAsia" w:eastAsiaTheme="majorEastAsia" w:cstheme="majorEastAsia"/>
          <w:sz w:val="28"/>
          <w:szCs w:val="28"/>
          <w:highlight w:val="none"/>
        </w:rPr>
        <w:t>）作为项目分成，合作运营方承诺若当月未能达到每月保底营业收入总额，差额部分由合作运营方支付给新仕诚公司。</w:t>
      </w:r>
    </w:p>
    <w:p>
      <w:pPr>
        <w:pStyle w:val="9"/>
        <w:tabs>
          <w:tab w:val="left" w:pos="526"/>
        </w:tabs>
        <w:spacing w:line="560" w:lineRule="exact"/>
        <w:ind w:firstLine="560" w:firstLineChars="200"/>
        <w:jc w:val="left"/>
        <w:rPr>
          <w:rFonts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3.1.4.新仕诚公司</w:t>
      </w:r>
      <w:r>
        <w:rPr>
          <w:rFonts w:hint="eastAsia" w:asciiTheme="majorEastAsia" w:hAnsiTheme="majorEastAsia" w:eastAsiaTheme="majorEastAsia" w:cstheme="majorEastAsia"/>
          <w:sz w:val="28"/>
          <w:szCs w:val="28"/>
          <w:lang w:val="en-US" w:eastAsia="zh-CN" w:bidi="ar-SA"/>
        </w:rPr>
        <w:t>有权检查、监督日常运营服务质量，根据客户的意见、建议，提出整改方案，对所属资产使用状况的检查监督。</w:t>
      </w:r>
      <w:r>
        <w:rPr>
          <w:rFonts w:hint="eastAsia" w:asciiTheme="majorEastAsia" w:hAnsiTheme="majorEastAsia" w:eastAsiaTheme="majorEastAsia" w:cstheme="majorEastAsia"/>
          <w:sz w:val="28"/>
          <w:szCs w:val="28"/>
          <w:lang w:val="en-US" w:eastAsia="zh-CN"/>
        </w:rPr>
        <w:t>若发现合作运营方有关安全性、合法合规性方面出现违规行为，有权对合作运营方作出罚款处理，罚款从当月营收扣减，并保留解除合作协议的权利。</w:t>
      </w:r>
    </w:p>
    <w:p>
      <w:pPr>
        <w:spacing w:line="560" w:lineRule="exact"/>
        <w:ind w:firstLine="560" w:firstLineChars="200"/>
        <w:rPr>
          <w:rFonts w:eastAsia="PMingLiU" w:asciiTheme="majorEastAsia" w:hAnsiTheme="majorEastAsia" w:cstheme="majorEastAsia"/>
          <w:sz w:val="28"/>
          <w:szCs w:val="28"/>
          <w:highlight w:val="none"/>
          <w:lang w:eastAsia="zh-TW"/>
        </w:rPr>
      </w:pPr>
      <w:r>
        <w:rPr>
          <w:rFonts w:hint="eastAsia" w:asciiTheme="majorEastAsia" w:hAnsiTheme="majorEastAsia" w:eastAsiaTheme="majorEastAsia" w:cstheme="majorEastAsia"/>
          <w:sz w:val="28"/>
          <w:szCs w:val="28"/>
          <w:highlight w:val="none"/>
        </w:rPr>
        <w:t>3.1.5为体现双方的友好合作，新仕诚公司为合作运营方提供每月600小时的免费停车券，由合作运营方自行为有需要的客户提供免费停车时长。超出免费停车时长部分，以乙方向甲方购买停车券方式支付。</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3.1.6新仕诚公司可以先行垫付如水、电、网络等费用，每月结算时从营收扣减。</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4.合作运营方主要权利与义务</w:t>
      </w:r>
      <w:r>
        <w:rPr>
          <w:rFonts w:hint="eastAsia" w:asciiTheme="majorEastAsia" w:hAnsiTheme="majorEastAsia" w:eastAsiaTheme="majorEastAsia" w:cstheme="majorEastAsia"/>
          <w:sz w:val="28"/>
          <w:szCs w:val="28"/>
        </w:rPr>
        <w:t xml:space="preserve"> </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4.1.合作运营方按要求运营羽毛球馆，包括但不限于球馆的对外</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宣传、现场服务与管理、有关设施设备维护与保养等。</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4.2.合作运营方对本合作项目实行独立核算自主经营，羽毛球馆运营产生的包括但不限于水、电、及球场设备的正常维护费用，球馆运营人员的工资、劳保、福利、工伤事故、住房等费用，球馆防疫、卫生保洁消毒工作等一切球馆运营所需费用均由合作运营方支付。</w:t>
      </w:r>
    </w:p>
    <w:p>
      <w:pPr>
        <w:spacing w:line="560" w:lineRule="exact"/>
        <w:ind w:firstLine="560" w:firstLineChars="200"/>
        <w:rPr>
          <w:rFonts w:asciiTheme="majorEastAsia" w:hAnsiTheme="majorEastAsia" w:eastAsiaTheme="majorEastAsia" w:cstheme="majorEastAsia"/>
          <w:sz w:val="28"/>
          <w:szCs w:val="28"/>
          <w:highlight w:val="yellow"/>
        </w:rPr>
      </w:pPr>
      <w:r>
        <w:rPr>
          <w:rFonts w:hint="eastAsia" w:asciiTheme="majorEastAsia" w:hAnsiTheme="majorEastAsia" w:eastAsiaTheme="majorEastAsia" w:cstheme="majorEastAsia"/>
          <w:sz w:val="28"/>
          <w:szCs w:val="28"/>
        </w:rPr>
        <w:t>4.3.</w:t>
      </w:r>
      <w:r>
        <w:rPr>
          <w:rFonts w:hint="eastAsia" w:asciiTheme="majorEastAsia" w:hAnsiTheme="majorEastAsia" w:eastAsiaTheme="majorEastAsia" w:cstheme="majorEastAsia"/>
          <w:sz w:val="28"/>
          <w:szCs w:val="28"/>
          <w:highlight w:val="none"/>
        </w:rPr>
        <w:t>新仕诚公司每月享有固定金额的保底营业收入作为项目分成，合作运营方承诺若当月未能达到每月保底营业收入总额，差额部分由合作运营方支付给新仕诚公司。</w:t>
      </w:r>
    </w:p>
    <w:p>
      <w:pPr>
        <w:spacing w:line="560" w:lineRule="exact"/>
        <w:rPr>
          <w:rFonts w:hint="eastAsia" w:asciiTheme="majorEastAsia" w:hAnsiTheme="majorEastAsia" w:eastAsiaTheme="majorEastAsia" w:cstheme="majorEastAsia"/>
          <w:sz w:val="28"/>
          <w:szCs w:val="28"/>
        </w:rPr>
      </w:pP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5.合作运营期限</w:t>
      </w:r>
    </w:p>
    <w:p>
      <w:pPr>
        <w:spacing w:line="560" w:lineRule="exact"/>
        <w:ind w:firstLine="560" w:firstLineChars="200"/>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2</w:t>
      </w:r>
      <w:r>
        <w:rPr>
          <w:rFonts w:asciiTheme="majorEastAsia" w:hAnsiTheme="majorEastAsia" w:eastAsiaTheme="majorEastAsia" w:cstheme="majorEastAsia"/>
          <w:sz w:val="28"/>
          <w:szCs w:val="28"/>
          <w:highlight w:val="none"/>
        </w:rPr>
        <w:t>022年</w:t>
      </w:r>
      <w:r>
        <w:rPr>
          <w:rFonts w:hint="eastAsia" w:asciiTheme="majorEastAsia" w:hAnsiTheme="majorEastAsia" w:eastAsiaTheme="majorEastAsia" w:cstheme="majorEastAsia"/>
          <w:sz w:val="28"/>
          <w:szCs w:val="28"/>
          <w:highlight w:val="none"/>
        </w:rPr>
        <w:t>7月1日至</w:t>
      </w:r>
      <w:r>
        <w:rPr>
          <w:rFonts w:asciiTheme="majorEastAsia" w:hAnsiTheme="majorEastAsia" w:eastAsiaTheme="majorEastAsia" w:cstheme="majorEastAsia"/>
          <w:sz w:val="28"/>
          <w:szCs w:val="28"/>
          <w:highlight w:val="none"/>
        </w:rPr>
        <w:t>2023年</w:t>
      </w:r>
      <w:r>
        <w:rPr>
          <w:rFonts w:hint="eastAsia" w:asciiTheme="majorEastAsia" w:hAnsiTheme="majorEastAsia" w:eastAsiaTheme="majorEastAsia" w:cstheme="majorEastAsia"/>
          <w:sz w:val="28"/>
          <w:szCs w:val="28"/>
          <w:highlight w:val="none"/>
        </w:rPr>
        <w:t>1</w:t>
      </w:r>
      <w:r>
        <w:rPr>
          <w:rFonts w:asciiTheme="majorEastAsia" w:hAnsiTheme="majorEastAsia" w:eastAsiaTheme="majorEastAsia" w:cstheme="majorEastAsia"/>
          <w:sz w:val="28"/>
          <w:szCs w:val="28"/>
          <w:highlight w:val="none"/>
        </w:rPr>
        <w:t>2月</w:t>
      </w:r>
      <w:r>
        <w:rPr>
          <w:rFonts w:hint="eastAsia" w:asciiTheme="majorEastAsia" w:hAnsiTheme="majorEastAsia" w:eastAsiaTheme="majorEastAsia" w:cstheme="majorEastAsia"/>
          <w:sz w:val="28"/>
          <w:szCs w:val="28"/>
          <w:highlight w:val="none"/>
        </w:rPr>
        <w:t>31日</w:t>
      </w:r>
      <w:r>
        <w:rPr>
          <w:rFonts w:asciiTheme="majorEastAsia" w:hAnsiTheme="majorEastAsia" w:eastAsiaTheme="majorEastAsia" w:cstheme="majorEastAsia"/>
          <w:sz w:val="28"/>
          <w:szCs w:val="28"/>
          <w:highlight w:val="none"/>
        </w:rPr>
        <w:t>，合计共</w:t>
      </w:r>
      <w:r>
        <w:rPr>
          <w:rFonts w:hint="eastAsia" w:asciiTheme="majorEastAsia" w:hAnsiTheme="majorEastAsia" w:eastAsiaTheme="majorEastAsia" w:cstheme="majorEastAsia"/>
          <w:sz w:val="28"/>
          <w:szCs w:val="28"/>
          <w:highlight w:val="none"/>
        </w:rPr>
        <w:t>18个月。</w:t>
      </w:r>
    </w:p>
    <w:p>
      <w:pPr>
        <w:spacing w:line="560" w:lineRule="exact"/>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6.保底营业额及营业额结算办法</w:t>
      </w:r>
    </w:p>
    <w:p>
      <w:pPr>
        <w:spacing w:line="560" w:lineRule="exact"/>
        <w:ind w:firstLine="562" w:firstLineChars="200"/>
        <w:jc w:val="lef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6.1 月保底营业额</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新仕诚公司月度保底营业额以与合作运营方最终谈判结果为准；</w:t>
      </w:r>
    </w:p>
    <w:p>
      <w:pPr>
        <w:spacing w:line="560" w:lineRule="exact"/>
        <w:ind w:firstLine="562"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bCs/>
          <w:sz w:val="28"/>
          <w:szCs w:val="28"/>
        </w:rPr>
        <w:t>6.2 结算办法</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6.2.1.新仕诚公司每月从羽毛球馆营业收入总额扣除上述须提取的月度保底营业额分成收益；</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6.2.2.新仕诚公司每月从羽毛球馆营业收入总额扣除每月垫付的（如有）水、电费等费用；</w:t>
      </w:r>
    </w:p>
    <w:p>
      <w:pPr>
        <w:spacing w:line="560" w:lineRule="exact"/>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6.2.3.于次月15号前（节假日相应顺延）将合作运营方的营业收入分成通过银行转账方式直接转入到合作运营方公司账户，该账号须符合新仕诚公司财务管理规定，</w:t>
      </w:r>
      <w:r>
        <w:rPr>
          <w:rFonts w:hint="eastAsia" w:asciiTheme="majorEastAsia" w:hAnsiTheme="majorEastAsia" w:eastAsiaTheme="majorEastAsia" w:cstheme="majorEastAsia"/>
          <w:sz w:val="28"/>
          <w:szCs w:val="28"/>
          <w:highlight w:val="none"/>
        </w:rPr>
        <w:t>合作运营方每月收到新仕诚公司划转的营收分成后，开具服务费用增值税专用发票</w:t>
      </w:r>
      <w:r>
        <w:rPr>
          <w:rFonts w:hint="eastAsia" w:asciiTheme="majorEastAsia" w:hAnsiTheme="majorEastAsia" w:eastAsiaTheme="majorEastAsia" w:cstheme="majorEastAsia"/>
          <w:sz w:val="28"/>
          <w:szCs w:val="28"/>
        </w:rPr>
        <w:t xml:space="preserve">。 </w:t>
      </w:r>
    </w:p>
    <w:p>
      <w:pPr>
        <w:spacing w:line="560"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7.羽毛球馆场地及设备移交管理</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7.1.合作运营方应在双方约定服务时间即日起向采购方提交羽毛球馆移交和接管的实施计划，并派驻球馆管理人员（包括现场负责人等）。无论合作运营方人员是否到位，球馆经营管理责任应从球馆交接之日起由合作运营方负责。</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7.2.羽毛球馆的场地及场内设备以现状交付给合作运营方，合作运营方于球馆设备设施接收时应进行全面仔细的检验，以确保符合球馆日常经营管理的正常要求，一经移交，球馆设备设施监管责任应由合作运营方负责。</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7.3.合作运营方对接收后的羽毛球馆设备设施使用情况具有责任，全权负责维修或购买新设备，如有原固定资产类更换需告知新仕诚公司并进行交接。</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7.4.合作运营方负责定期维修、保养球馆内的设备、设施及相关用具等，以确保设备设施安全可靠并正常进行。</w:t>
      </w:r>
    </w:p>
    <w:p>
      <w:pPr>
        <w:spacing w:line="560" w:lineRule="exact"/>
        <w:ind w:firstLine="560" w:firstLineChars="200"/>
        <w:rPr>
          <w:rFonts w:hint="eastAsia" w:asciiTheme="majorEastAsia" w:hAnsiTheme="majorEastAsia" w:eastAsiaTheme="majorEastAsia" w:cstheme="majorEastAsia"/>
          <w:sz w:val="28"/>
          <w:szCs w:val="28"/>
          <w:highlight w:val="yellow"/>
        </w:rPr>
      </w:pPr>
      <w:r>
        <w:rPr>
          <w:rFonts w:hint="eastAsia" w:asciiTheme="majorEastAsia" w:hAnsiTheme="majorEastAsia" w:eastAsiaTheme="majorEastAsia" w:cstheme="majorEastAsia"/>
          <w:sz w:val="28"/>
          <w:szCs w:val="28"/>
        </w:rPr>
        <w:t>7.5.</w:t>
      </w:r>
      <w:r>
        <w:rPr>
          <w:rFonts w:hint="eastAsia" w:asciiTheme="majorEastAsia" w:hAnsiTheme="majorEastAsia" w:eastAsiaTheme="majorEastAsia" w:cstheme="majorEastAsia"/>
          <w:sz w:val="28"/>
          <w:szCs w:val="28"/>
          <w:highlight w:val="none"/>
        </w:rPr>
        <w:t>羽毛球馆按现状模式进行合作经营，合作经营期间如合作运营方对羽毛球馆进行部分装修、设备升级等投入的，费用由合作运营方支付，合作期结束后所有装修及设备等均归新仕诚公司所有，合作运营方不得以任何理由拆除或要求新仕诚公司支付相关费用。</w:t>
      </w:r>
    </w:p>
    <w:p>
      <w:pPr>
        <w:spacing w:line="560" w:lineRule="exact"/>
        <w:ind w:firstLine="560" w:firstLineChars="200"/>
        <w:jc w:val="left"/>
        <w:rPr>
          <w:rFonts w:hint="eastAsia" w:asciiTheme="majorEastAsia" w:hAnsiTheme="majorEastAsia" w:eastAsiaTheme="majorEastAsia" w:cstheme="majorEastAsia"/>
          <w:sz w:val="28"/>
          <w:szCs w:val="28"/>
          <w:highlight w:val="yellow"/>
        </w:rPr>
      </w:pPr>
    </w:p>
    <w:p>
      <w:pPr>
        <w:ind w:firstLine="472"/>
        <w:jc w:val="left"/>
        <w:rPr>
          <w:rFonts w:asciiTheme="majorEastAsia" w:hAnsiTheme="majorEastAsia" w:eastAsiaTheme="majorEastAsia" w:cstheme="majorEastAsia"/>
        </w:rPr>
      </w:pPr>
    </w:p>
    <w:p>
      <w:pPr>
        <w:ind w:firstLine="472"/>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第四章 响应文件要求</w:t>
      </w:r>
    </w:p>
    <w:p>
      <w:pPr>
        <w:ind w:firstLine="472"/>
        <w:jc w:val="left"/>
        <w:rPr>
          <w:rFonts w:asciiTheme="majorEastAsia" w:hAnsiTheme="majorEastAsia" w:eastAsiaTheme="majorEastAsia" w:cstheme="majorEastAsia"/>
          <w:sz w:val="28"/>
          <w:szCs w:val="28"/>
        </w:rPr>
      </w:pPr>
    </w:p>
    <w:p>
      <w:pPr>
        <w:ind w:firstLine="472"/>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响应文件包括资格性证明材料、商务部分、技术部分、价格部分四个部分组成。</w:t>
      </w:r>
    </w:p>
    <w:p>
      <w:pPr>
        <w:jc w:val="left"/>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highlight w:val="none"/>
        </w:rPr>
        <w:t>1.资格性证明材料</w:t>
      </w:r>
    </w:p>
    <w:p>
      <w:pPr>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1.1.响应人法定代表人身份证正反面复印件（必须提供）；</w:t>
      </w:r>
    </w:p>
    <w:p>
      <w:pPr>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1.2.响应人的法人授权委托书原件、委托代理人身份证正反面复印件（委托代理时必须提供）；</w:t>
      </w:r>
    </w:p>
    <w:p>
      <w:pPr>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1.3.响应人的营业执照副本复印件（必须提供）； </w:t>
      </w:r>
    </w:p>
    <w:p>
      <w:pPr>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1.4.经营范围证明文件（必须提供）；</w:t>
      </w:r>
    </w:p>
    <w:p>
      <w:pPr>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1.5.响应人在“信用中国”网站(www.creditchina.gov.cn)的信用查询页面打印文件（必须提供）；</w:t>
      </w:r>
    </w:p>
    <w:p>
      <w:pPr>
        <w:ind w:firstLine="560" w:firstLineChars="200"/>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1.6.响应人参加本采购活动前3年内在经营活动中没有重大违法记录的书面声明（必须提供）；</w:t>
      </w:r>
    </w:p>
    <w:p>
      <w:pPr>
        <w:ind w:firstLine="560" w:firstLineChars="200"/>
        <w:jc w:val="left"/>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rPr>
        <w:t xml:space="preserve">1.7. </w:t>
      </w:r>
      <w:r>
        <w:rPr>
          <w:rFonts w:hint="eastAsia" w:asciiTheme="majorEastAsia" w:hAnsiTheme="majorEastAsia" w:eastAsiaTheme="majorEastAsia" w:cstheme="majorEastAsia"/>
          <w:sz w:val="28"/>
          <w:szCs w:val="28"/>
          <w:highlight w:val="none"/>
        </w:rPr>
        <w:t>响应人按规定的格式及内容要求签署的《意向承诺函》（必须提供）；</w:t>
      </w:r>
    </w:p>
    <w:p>
      <w:pPr>
        <w:ind w:firstLine="560" w:firstLineChars="200"/>
        <w:jc w:val="left"/>
        <w:rPr>
          <w:rFonts w:asciiTheme="majorEastAsia" w:hAnsiTheme="majorEastAsia" w:eastAsiaTheme="majorEastAsia" w:cstheme="majorEastAsia"/>
          <w:sz w:val="28"/>
          <w:szCs w:val="28"/>
          <w:highlight w:val="yellow"/>
        </w:rPr>
      </w:pPr>
      <w:r>
        <w:rPr>
          <w:rFonts w:hint="eastAsia" w:asciiTheme="majorEastAsia" w:hAnsiTheme="majorEastAsia" w:eastAsiaTheme="majorEastAsia" w:cstheme="majorEastAsia"/>
          <w:sz w:val="28"/>
          <w:szCs w:val="28"/>
          <w:highlight w:val="none"/>
        </w:rPr>
        <w:t>1.8. 谈判保证金转账凭证。</w:t>
      </w:r>
    </w:p>
    <w:p>
      <w:pPr>
        <w:spacing w:line="560" w:lineRule="exact"/>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2.商务部分材料</w:t>
      </w:r>
    </w:p>
    <w:p>
      <w:pPr>
        <w:numPr>
          <w:ilvl w:val="255"/>
          <w:numId w:val="0"/>
        </w:num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2.1.企业注册资金证明文件.</w:t>
      </w:r>
    </w:p>
    <w:p>
      <w:pPr>
        <w:numPr>
          <w:ilvl w:val="255"/>
          <w:numId w:val="0"/>
        </w:num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2.2.2019年至今运营过的类似项目业绩</w:t>
      </w:r>
      <w:r>
        <w:rPr>
          <w:rFonts w:hint="eastAsia" w:asciiTheme="majorEastAsia" w:hAnsiTheme="majorEastAsia" w:eastAsiaTheme="majorEastAsia" w:cstheme="majorEastAsia"/>
          <w:sz w:val="28"/>
          <w:szCs w:val="28"/>
          <w:highlight w:val="none"/>
        </w:rPr>
        <w:t>证明。</w:t>
      </w:r>
    </w:p>
    <w:p>
      <w:pPr>
        <w:spacing w:line="560" w:lineRule="exact"/>
        <w:ind w:firstLine="56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rPr>
        <w:t>2.3.项目团队资格证书</w:t>
      </w:r>
      <w:r>
        <w:rPr>
          <w:rFonts w:hint="eastAsia" w:asciiTheme="majorEastAsia" w:hAnsiTheme="majorEastAsia" w:eastAsiaTheme="majorEastAsia" w:cstheme="majorEastAsia"/>
          <w:sz w:val="28"/>
          <w:szCs w:val="28"/>
          <w:lang w:val="en-US" w:eastAsia="zh-CN"/>
        </w:rPr>
        <w:t>复印件</w:t>
      </w:r>
    </w:p>
    <w:p>
      <w:pPr>
        <w:spacing w:line="560" w:lineRule="exact"/>
        <w:rPr>
          <w:rFonts w:asciiTheme="majorEastAsia" w:hAnsiTheme="majorEastAsia" w:eastAsiaTheme="majorEastAsia" w:cstheme="majorEastAsia"/>
          <w:b/>
          <w:bCs/>
          <w:sz w:val="28"/>
          <w:szCs w:val="28"/>
          <w:highlight w:val="yellow"/>
        </w:rPr>
      </w:pPr>
      <w:r>
        <w:rPr>
          <w:rFonts w:hint="eastAsia" w:asciiTheme="majorEastAsia" w:hAnsiTheme="majorEastAsia" w:eastAsiaTheme="majorEastAsia" w:cstheme="majorEastAsia"/>
          <w:b/>
          <w:bCs/>
          <w:sz w:val="28"/>
          <w:szCs w:val="28"/>
          <w:highlight w:val="none"/>
        </w:rPr>
        <w:t>3.技术部分</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3.1.羽毛球馆经营管理方案（必须提供）；该方案包含如下但不限于：</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3.1.1经营方案：包含但不限于经营理念，总体经营方案；对外宣传及品牌推广策略；节能计划措施方案等。</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3.1.2服务方案：包含但不限于根据客户、</w:t>
      </w:r>
      <w:r>
        <w:rPr>
          <w:rFonts w:hint="eastAsia" w:asciiTheme="majorEastAsia" w:hAnsiTheme="majorEastAsia" w:eastAsiaTheme="majorEastAsia" w:cstheme="majorEastAsia"/>
          <w:sz w:val="28"/>
          <w:szCs w:val="28"/>
          <w:lang w:val="en-US" w:eastAsia="zh-CN"/>
        </w:rPr>
        <w:t>项目单位</w:t>
      </w:r>
      <w:r>
        <w:rPr>
          <w:rFonts w:hint="eastAsia" w:asciiTheme="majorEastAsia" w:hAnsiTheme="majorEastAsia" w:eastAsiaTheme="majorEastAsia" w:cstheme="majorEastAsia"/>
          <w:sz w:val="28"/>
          <w:szCs w:val="28"/>
        </w:rPr>
        <w:t>的实际情况，所制定的例如场馆收费标准等方案。</w:t>
      </w:r>
    </w:p>
    <w:p>
      <w:pPr>
        <w:spacing w:line="560" w:lineRule="exact"/>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highlight w:val="none"/>
        </w:rPr>
        <w:t>3.1.3服务承诺：制定与项目单位有关的服务承诺或者内容</w:t>
      </w:r>
      <w:r>
        <w:rPr>
          <w:rFonts w:hint="eastAsia" w:asciiTheme="majorEastAsia" w:hAnsiTheme="majorEastAsia" w:eastAsiaTheme="majorEastAsia" w:cstheme="majorEastAsia"/>
          <w:sz w:val="28"/>
          <w:szCs w:val="28"/>
          <w:highlight w:val="none"/>
          <w:lang w:val="en-US" w:eastAsia="zh-CN"/>
        </w:rPr>
        <w:t>以</w:t>
      </w:r>
      <w:r>
        <w:rPr>
          <w:rFonts w:hint="eastAsia" w:asciiTheme="majorEastAsia" w:hAnsiTheme="majorEastAsia" w:eastAsiaTheme="majorEastAsia" w:cstheme="majorEastAsia"/>
          <w:sz w:val="28"/>
          <w:szCs w:val="28"/>
          <w:highlight w:val="none"/>
        </w:rPr>
        <w:t>体现双方的友好合作，包括但不限于承诺给项目单位</w:t>
      </w:r>
      <w:r>
        <w:rPr>
          <w:rFonts w:hint="eastAsia" w:asciiTheme="majorEastAsia" w:hAnsiTheme="majorEastAsia" w:eastAsiaTheme="majorEastAsia" w:cstheme="majorEastAsia"/>
          <w:sz w:val="28"/>
          <w:szCs w:val="28"/>
          <w:highlight w:val="none"/>
          <w:lang w:val="en-US" w:eastAsia="zh-CN"/>
        </w:rPr>
        <w:t>提供不少于6</w:t>
      </w:r>
      <w:r>
        <w:rPr>
          <w:rFonts w:asciiTheme="majorEastAsia" w:hAnsiTheme="majorEastAsia" w:eastAsiaTheme="majorEastAsia" w:cstheme="majorEastAsia"/>
          <w:sz w:val="28"/>
          <w:szCs w:val="28"/>
          <w:highlight w:val="none"/>
        </w:rPr>
        <w:t>小时</w:t>
      </w:r>
      <w:r>
        <w:rPr>
          <w:rFonts w:hint="eastAsia" w:asciiTheme="majorEastAsia" w:hAnsiTheme="majorEastAsia" w:eastAsiaTheme="majorEastAsia" w:cstheme="majorEastAsia"/>
          <w:sz w:val="28"/>
          <w:szCs w:val="28"/>
          <w:highlight w:val="none"/>
        </w:rPr>
        <w:t>/周，（</w:t>
      </w:r>
      <w:r>
        <w:rPr>
          <w:rFonts w:hint="eastAsia" w:asciiTheme="majorEastAsia" w:hAnsiTheme="majorEastAsia" w:eastAsiaTheme="majorEastAsia" w:cstheme="majorEastAsia"/>
          <w:sz w:val="28"/>
          <w:szCs w:val="28"/>
          <w:highlight w:val="none"/>
          <w:lang w:val="en-US" w:eastAsia="zh-CN"/>
        </w:rPr>
        <w:t>24</w:t>
      </w:r>
      <w:r>
        <w:rPr>
          <w:rFonts w:asciiTheme="majorEastAsia" w:hAnsiTheme="majorEastAsia" w:eastAsiaTheme="majorEastAsia" w:cstheme="majorEastAsia"/>
          <w:sz w:val="28"/>
          <w:szCs w:val="28"/>
          <w:highlight w:val="none"/>
        </w:rPr>
        <w:t>小时</w:t>
      </w:r>
      <w:r>
        <w:rPr>
          <w:rFonts w:hint="eastAsia" w:asciiTheme="majorEastAsia" w:hAnsiTheme="majorEastAsia" w:eastAsiaTheme="majorEastAsia" w:cstheme="majorEastAsia"/>
          <w:sz w:val="28"/>
          <w:szCs w:val="28"/>
          <w:highlight w:val="none"/>
        </w:rPr>
        <w:t>/月）</w:t>
      </w:r>
      <w:r>
        <w:rPr>
          <w:rFonts w:hint="eastAsia" w:asciiTheme="majorEastAsia" w:hAnsiTheme="majorEastAsia" w:eastAsiaTheme="majorEastAsia" w:cstheme="majorEastAsia"/>
          <w:sz w:val="28"/>
          <w:szCs w:val="28"/>
          <w:highlight w:val="none"/>
          <w:lang w:val="en-US" w:eastAsia="zh-CN"/>
        </w:rPr>
        <w:t>的</w:t>
      </w:r>
      <w:r>
        <w:rPr>
          <w:rFonts w:hint="eastAsia" w:asciiTheme="majorEastAsia" w:hAnsiTheme="majorEastAsia" w:eastAsiaTheme="majorEastAsia" w:cstheme="majorEastAsia"/>
          <w:sz w:val="28"/>
          <w:szCs w:val="28"/>
          <w:highlight w:val="none"/>
        </w:rPr>
        <w:t>免费场地使用时长等</w:t>
      </w:r>
      <w:r>
        <w:rPr>
          <w:rFonts w:hint="eastAsia" w:asciiTheme="majorEastAsia" w:hAnsiTheme="majorEastAsia" w:eastAsiaTheme="majorEastAsia" w:cstheme="majorEastAsia"/>
          <w:sz w:val="28"/>
          <w:szCs w:val="28"/>
          <w:highlight w:val="none"/>
          <w:lang w:eastAsia="zh-CN"/>
        </w:rPr>
        <w:t>。</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3.1.4管理制度：包括但不限于安全管理措施、卫生管理措施、员工管理及考核奖惩办法等。</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3.1.5管理人员配备：包括但不限于管理组织结构、管理团队中技术力量配备方案（项目实施人员一览表）；员工工作纪律建设及文明礼貌服务的承诺等。</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3.2.球馆升级方案（如有，可提供）；</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3.3.应急处置方案：包括但不限于疫情防控等突发应急处置方案。</w:t>
      </w:r>
    </w:p>
    <w:p>
      <w:pPr>
        <w:spacing w:line="560" w:lineRule="exact"/>
        <w:rPr>
          <w:rFonts w:hint="eastAsia" w:asciiTheme="majorEastAsia" w:hAnsiTheme="majorEastAsia" w:eastAsiaTheme="majorEastAsia" w:cstheme="majorEastAsia"/>
          <w:sz w:val="28"/>
          <w:szCs w:val="28"/>
        </w:rPr>
      </w:pP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4、报价材料</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按照附件的《竞争性谈判报价表》格式填写。</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注：以上有关材料应真实有效，并加盖响应人公章（扫描公章无效）</w:t>
      </w:r>
    </w:p>
    <w:p>
      <w:pPr>
        <w:ind w:firstLine="472"/>
        <w:jc w:val="center"/>
        <w:rPr>
          <w:rFonts w:asciiTheme="majorEastAsia" w:hAnsiTheme="majorEastAsia" w:eastAsiaTheme="majorEastAsia" w:cstheme="majorEastAsia"/>
          <w:b/>
          <w:bCs/>
          <w:sz w:val="32"/>
          <w:szCs w:val="32"/>
        </w:rPr>
      </w:pPr>
    </w:p>
    <w:p>
      <w:pPr>
        <w:ind w:firstLine="472"/>
        <w:jc w:val="center"/>
        <w:rPr>
          <w:rFonts w:asciiTheme="majorEastAsia" w:hAnsiTheme="majorEastAsia" w:eastAsiaTheme="majorEastAsia" w:cstheme="majorEastAsia"/>
          <w:b/>
          <w:bCs/>
          <w:sz w:val="32"/>
          <w:szCs w:val="32"/>
        </w:rPr>
      </w:pPr>
    </w:p>
    <w:p>
      <w:pPr>
        <w:ind w:firstLine="472"/>
        <w:jc w:val="center"/>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第五章 谈判细则</w:t>
      </w:r>
    </w:p>
    <w:p>
      <w:pPr>
        <w:rPr>
          <w:rFonts w:asciiTheme="majorEastAsia" w:hAnsiTheme="majorEastAsia" w:eastAsiaTheme="majorEastAsia" w:cstheme="majorEastAsia"/>
          <w:sz w:val="28"/>
          <w:szCs w:val="28"/>
        </w:rPr>
      </w:pP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一、谈判小组组成</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谈判小组由项目单位选定</w:t>
      </w:r>
      <w:r>
        <w:rPr>
          <w:rFonts w:hint="eastAsia" w:asciiTheme="majorEastAsia" w:hAnsiTheme="majorEastAsia" w:eastAsiaTheme="majorEastAsia" w:cstheme="majorEastAsia"/>
          <w:sz w:val="28"/>
          <w:szCs w:val="28"/>
          <w:highlight w:val="none"/>
        </w:rPr>
        <w:t>五人或</w:t>
      </w:r>
      <w:r>
        <w:rPr>
          <w:rFonts w:hint="eastAsia" w:asciiTheme="majorEastAsia" w:hAnsiTheme="majorEastAsia" w:eastAsiaTheme="majorEastAsia" w:cstheme="majorEastAsia"/>
          <w:sz w:val="28"/>
          <w:szCs w:val="28"/>
        </w:rPr>
        <w:t>以上单数组成。谈判小组本着公平、公正、科学、择优的原则，严格按照法律法规和谈判文件的要求推荐评审结果。谈判小组在谈判及评审过程中出现意见不一致时，应遵循少数服从多数原则。</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谈判小组成员有下列情形之一的，受到邀请应主动提出回避，采购当事人也可以要求该成员回避：</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1.本人、配偶或直系亲属3年内曾在参加该项目的合作运营方中任职（包括一般工作）或担任顾问，或与参加该采购项目的合作运营方发生过法律纠纷；</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2.任职单位与项目单位或参加该采购项目的合作运营方存在行政隶属关系；</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3.是参加该采购项目合作运营方的上级主管部门、控股或参股单位的工作人员，或与该合作运营方存在其他经济利益关系；</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5.谈判小组成员之间具有配偶、近亲属关系；</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6.法律、法规、规章规定应当回避以及其他可能影响公正评审的。</w:t>
      </w:r>
    </w:p>
    <w:p>
      <w:pPr>
        <w:spacing w:line="560" w:lineRule="exact"/>
        <w:ind w:firstLine="560" w:firstLineChars="200"/>
        <w:rPr>
          <w:rFonts w:asciiTheme="majorEastAsia" w:hAnsiTheme="majorEastAsia" w:eastAsiaTheme="majorEastAsia" w:cstheme="majorEastAsia"/>
          <w:sz w:val="28"/>
          <w:szCs w:val="28"/>
        </w:rPr>
      </w:pP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二、谈判流程</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1.接收响应文件</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highlight w:val="none"/>
        </w:rPr>
        <w:t>响应文件包括资格性证明材料、商务部分、技术部分、价格部分四个部分组成，</w:t>
      </w:r>
      <w:r>
        <w:rPr>
          <w:rFonts w:hint="eastAsia" w:asciiTheme="majorEastAsia" w:hAnsiTheme="majorEastAsia" w:eastAsiaTheme="majorEastAsia" w:cstheme="majorEastAsia"/>
          <w:sz w:val="28"/>
          <w:szCs w:val="28"/>
        </w:rPr>
        <w:t>采购人按《谈判文件》规定的时间和地点接收响应文件和组织谈判会。供应商派出法定代表人或其授权代表人参加并签到；采购人负责做好有关记录。供应商不派出其授权代表参加开标会的，视为完全同意开标内容及对开标会过程无异议。</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2.谈判</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2.1.谈判小组首先对供应商进行初审，初审内容包括资格性、符合性审查（内容详见附表1），出现不符合资格性、符合性初审表所列情形之一时，不得参与谈判，谈判小组将告知供应商并说明理由。</w:t>
      </w:r>
    </w:p>
    <w:p>
      <w:pPr>
        <w:spacing w:line="560" w:lineRule="exact"/>
        <w:ind w:firstLine="560" w:firstLineChars="200"/>
        <w:rPr>
          <w:rFonts w:asciiTheme="majorEastAsia" w:hAnsiTheme="majorEastAsia" w:eastAsiaTheme="majorEastAsia" w:cstheme="majorEastAsia"/>
          <w:sz w:val="28"/>
          <w:szCs w:val="28"/>
          <w:highlight w:val="yellow"/>
        </w:rPr>
      </w:pPr>
      <w:r>
        <w:rPr>
          <w:rFonts w:hint="eastAsia" w:asciiTheme="majorEastAsia" w:hAnsiTheme="majorEastAsia" w:eastAsiaTheme="majorEastAsia" w:cstheme="majorEastAsia"/>
          <w:sz w:val="28"/>
          <w:szCs w:val="28"/>
        </w:rPr>
        <w:t>2.2.</w:t>
      </w:r>
      <w:r>
        <w:rPr>
          <w:rFonts w:hint="eastAsia" w:asciiTheme="majorEastAsia" w:hAnsiTheme="majorEastAsia" w:eastAsiaTheme="majorEastAsia" w:cstheme="majorEastAsia"/>
          <w:sz w:val="28"/>
          <w:szCs w:val="28"/>
          <w:highlight w:val="none"/>
        </w:rPr>
        <w:t>谈判小组对</w:t>
      </w:r>
      <w:r>
        <w:rPr>
          <w:rFonts w:hint="eastAsia" w:asciiTheme="majorEastAsia" w:hAnsiTheme="majorEastAsia" w:eastAsiaTheme="majorEastAsia" w:cstheme="majorEastAsia"/>
          <w:sz w:val="28"/>
          <w:szCs w:val="28"/>
        </w:rPr>
        <w:t>通过初审的每一位合作运营方进行第一次谈判（以抽签形式确定先后顺序），由合作运营方对</w:t>
      </w:r>
      <w:r>
        <w:rPr>
          <w:rFonts w:hint="eastAsia" w:asciiTheme="majorEastAsia" w:hAnsiTheme="majorEastAsia" w:eastAsiaTheme="majorEastAsia" w:cstheme="majorEastAsia"/>
          <w:sz w:val="28"/>
          <w:szCs w:val="28"/>
          <w:highlight w:val="none"/>
        </w:rPr>
        <w:t>响应文件内的技术部分进行讲解答疑后，谈判小组根据谈判情况对商务部分、技术部分进行第一轮评分（评分规则详见附表2）。</w:t>
      </w:r>
      <w:r>
        <w:rPr>
          <w:rFonts w:hint="eastAsia" w:asciiTheme="majorEastAsia" w:hAnsiTheme="majorEastAsia" w:eastAsiaTheme="majorEastAsia" w:cstheme="majorEastAsia"/>
          <w:sz w:val="28"/>
          <w:szCs w:val="28"/>
        </w:rPr>
        <w:t>在谈判中，谈判的任何一方不得透露与谈判有关的其他合作运营方的技术资料、价格和其他信息。</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2.3.谈判小组与第一轮得分最高的三位合作运营方同时进行</w:t>
      </w:r>
      <w:r>
        <w:rPr>
          <w:rFonts w:hint="eastAsia" w:asciiTheme="majorEastAsia" w:hAnsiTheme="majorEastAsia" w:eastAsiaTheme="majorEastAsia" w:cstheme="majorEastAsia"/>
          <w:sz w:val="28"/>
          <w:szCs w:val="28"/>
          <w:lang w:val="en-US" w:eastAsia="zh-CN"/>
        </w:rPr>
        <w:t>第</w:t>
      </w:r>
      <w:r>
        <w:rPr>
          <w:rFonts w:hint="eastAsia" w:asciiTheme="majorEastAsia" w:hAnsiTheme="majorEastAsia" w:eastAsiaTheme="majorEastAsia" w:cstheme="majorEastAsia"/>
          <w:sz w:val="28"/>
          <w:szCs w:val="28"/>
        </w:rPr>
        <w:t>二轮谈判，并</w:t>
      </w:r>
      <w:r>
        <w:rPr>
          <w:rFonts w:hint="eastAsia" w:asciiTheme="majorEastAsia" w:hAnsiTheme="majorEastAsia" w:eastAsiaTheme="majorEastAsia" w:cstheme="majorEastAsia"/>
          <w:sz w:val="28"/>
          <w:szCs w:val="28"/>
          <w:highlight w:val="none"/>
        </w:rPr>
        <w:t>要求所有合作运营方在规定的时间内进行最终报价，谈判小组根据报价对价格部分进行评分（评分规则详见附表2），第一轮评分和第二轮评分总和最高的为最终的合作运营方。</w:t>
      </w:r>
    </w:p>
    <w:p>
      <w:pPr>
        <w:spacing w:line="560" w:lineRule="exact"/>
        <w:ind w:firstLine="560" w:firstLineChars="200"/>
        <w:rPr>
          <w:rFonts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sz w:val="28"/>
          <w:szCs w:val="28"/>
        </w:rPr>
        <w:t>2.4.</w:t>
      </w:r>
      <w:r>
        <w:rPr>
          <w:rFonts w:hint="eastAsia" w:asciiTheme="majorEastAsia" w:hAnsiTheme="majorEastAsia" w:eastAsiaTheme="majorEastAsia" w:cstheme="majorEastAsia"/>
          <w:sz w:val="28"/>
          <w:szCs w:val="28"/>
          <w:highlight w:val="none"/>
          <w:lang w:val="en-US" w:eastAsia="zh-CN"/>
        </w:rPr>
        <w:t>最终的合作运营方</w:t>
      </w:r>
      <w:r>
        <w:rPr>
          <w:rFonts w:hint="eastAsia" w:asciiTheme="majorEastAsia" w:hAnsiTheme="majorEastAsia" w:eastAsiaTheme="majorEastAsia" w:cstheme="majorEastAsia"/>
          <w:sz w:val="28"/>
          <w:szCs w:val="28"/>
          <w:highlight w:val="none"/>
        </w:rPr>
        <w:t>须签订《谈判承诺书》。</w:t>
      </w:r>
    </w:p>
    <w:p>
      <w:pPr>
        <w:spacing w:line="560" w:lineRule="exact"/>
        <w:ind w:firstLine="560" w:firstLineChars="200"/>
        <w:rPr>
          <w:rFonts w:asciiTheme="majorEastAsia" w:hAnsiTheme="majorEastAsia" w:eastAsiaTheme="majorEastAsia" w:cstheme="majorEastAsia"/>
          <w:sz w:val="28"/>
          <w:szCs w:val="28"/>
          <w:highlight w:val="yellow"/>
        </w:rPr>
      </w:pPr>
      <w:r>
        <w:rPr>
          <w:rFonts w:hint="eastAsia" w:asciiTheme="majorEastAsia" w:hAnsiTheme="majorEastAsia" w:eastAsiaTheme="majorEastAsia" w:cstheme="majorEastAsia"/>
          <w:sz w:val="28"/>
          <w:szCs w:val="28"/>
          <w:highlight w:val="none"/>
        </w:rPr>
        <w:t>2.5.《谈判承诺书》是响应文件的有效组成部分。谈判小组可以根据合作运营方响应文件内的商务部分、技术部分和最终谈判报价情况，按实际情况变动部分合同草案条款，但不得变动谈判文件中的其他内容。</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三、评审方法</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3.1评选方式</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highlight w:val="none"/>
        </w:rPr>
        <w:t>本次谈判采用两轮谈判、两次评审的形式进行。谈判小组将按评审办法得出评分最高的一方确定为最终合作运营方。</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3.2响应文件差异修正准则响应文件出现差异时，修正原则及优先修正顺序如下：</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3.2.1.开标内容与响应文件对应内容不一致的，均以开标内容为准；</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3.2.2.大写金额和小写金额不一致的，以大写金额为准；</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3.2.3.对不同文字文本响应文件的解释发生异议的，以中文文本为准；</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3.2.4.对出现以上情况或因明显笔误而需修正任何内容时，均以谈判小组审定通过方为有效；</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3.3.响应文件的澄清、说明或更正</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3.3.1.谈判小组在对响应文件的有效性、完整性和响应程度进行审查时，可要求合作运营方对响应文件中含义不明确、同类问题表述不一致或者有明显文字和计算错误的内容等作出必要的澄清、说明或者更正。合作运营方的澄清、说明或者更正不得超出响应文件的范围或者改变响应文件的实质性内容。</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3.3.2.谈判小组要求合作运营方澄清、说明或者更正响应文件应当以书面形式作出。合作运营方的澄清、说明或者更正应当由法定代表人或其授权代表签字或者加盖公章。</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3.3.3.谈判小组均应当阅读合作运营方的澄清、说明或者更正，但应独立参考澄清、说明或者更正对响应文件进行评审，整个澄清、说明或者更正的过程不得存在排斥潜在合作运营方的现象。</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3.3.4.除上述规定的情形之外，谈判小组在评审过程中，不得接收来自评审现场以外的任何形式的文件资料。</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谈判小组认为合作运营方的报价明显不合理或者明显高于其他供应商报价，有可能影响服务质量和不能诚信履约的，应当要求该合作运营方作出书面说明并提供相关证明材料。合作运营方不能合理说明或者不能提供相关证明材料的，由谈判小组认定该合作运营方为低于成本报价，报价无效。</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w:t>
      </w:r>
      <w:r>
        <w:rPr>
          <w:rFonts w:hint="eastAsia" w:asciiTheme="majorEastAsia" w:hAnsiTheme="majorEastAsia" w:eastAsiaTheme="majorEastAsia" w:cstheme="majorEastAsia"/>
          <w:sz w:val="28"/>
          <w:szCs w:val="28"/>
          <w:highlight w:val="none"/>
        </w:rPr>
        <w:t>综合评分仅用于计算排名</w:t>
      </w:r>
      <w:r>
        <w:rPr>
          <w:rFonts w:hint="eastAsia" w:asciiTheme="majorEastAsia" w:hAnsiTheme="majorEastAsia" w:eastAsiaTheme="majorEastAsia" w:cstheme="majorEastAsia"/>
          <w:sz w:val="28"/>
          <w:szCs w:val="28"/>
        </w:rPr>
        <w:t>，成交金额以实际最后报价为准。</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四、成交候选人</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谈判小组应当从质量和服务均能满足谈判文件实质响应要求的合作运营方中，按照综合评分由高到低的顺序确定3名合作运营方作为成交合作运营方候选人，</w:t>
      </w:r>
      <w:r>
        <w:rPr>
          <w:rFonts w:hint="eastAsia" w:asciiTheme="majorEastAsia" w:hAnsiTheme="majorEastAsia" w:eastAsiaTheme="majorEastAsia" w:cstheme="majorEastAsia"/>
          <w:sz w:val="28"/>
          <w:szCs w:val="28"/>
          <w:highlight w:val="none"/>
        </w:rPr>
        <w:t>如果出现评分相同，则报价高的候选人排位高于报价较低的候选人</w:t>
      </w:r>
      <w:r>
        <w:rPr>
          <w:rFonts w:hint="eastAsia" w:asciiTheme="majorEastAsia" w:hAnsiTheme="majorEastAsia" w:eastAsiaTheme="majorEastAsia" w:cstheme="majorEastAsia"/>
          <w:sz w:val="28"/>
          <w:szCs w:val="28"/>
        </w:rPr>
        <w:t>。</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五、确定成交供应商</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highlight w:val="none"/>
        </w:rPr>
        <w:t>5.1.项目单位在评审结束后3个工作日内根据质量和服务均能满足谈判文件实质性响应要求且最后综合评分最高原则确定成交供应商并向其出具《确认合作运营通知书》。同时</w:t>
      </w:r>
      <w:r>
        <w:rPr>
          <w:rFonts w:hint="eastAsia" w:asciiTheme="majorEastAsia" w:hAnsiTheme="majorEastAsia" w:eastAsiaTheme="majorEastAsia" w:cstheme="majorEastAsia"/>
          <w:sz w:val="28"/>
          <w:szCs w:val="28"/>
        </w:rPr>
        <w:t>以网上公告的方式通知所有未成交的合作运营方。</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5.2.成交合作运营方放弃成交的，项目单位将没收其谈判保证金。</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六、签订合同</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项目单位与成交合作运营方应当在</w:t>
      </w:r>
      <w:r>
        <w:rPr>
          <w:rFonts w:hint="eastAsia" w:asciiTheme="majorEastAsia" w:hAnsiTheme="majorEastAsia" w:eastAsiaTheme="majorEastAsia" w:cstheme="majorEastAsia"/>
          <w:sz w:val="28"/>
          <w:szCs w:val="28"/>
          <w:highlight w:val="none"/>
        </w:rPr>
        <w:t>《确认合作运营通知书》</w:t>
      </w:r>
      <w:r>
        <w:rPr>
          <w:rFonts w:hint="eastAsia" w:asciiTheme="majorEastAsia" w:hAnsiTheme="majorEastAsia" w:eastAsiaTheme="majorEastAsia" w:cstheme="majorEastAsia"/>
          <w:sz w:val="28"/>
          <w:szCs w:val="28"/>
        </w:rPr>
        <w:t>发出之日起7日内（如第二章采购需求有相应约定的从其约定），按照谈判文件确定的事项签订合作经营协议，协议条款不得与谈判文件和响应文件内容有实质性偏离。</w:t>
      </w:r>
    </w:p>
    <w:p>
      <w:pPr>
        <w:spacing w:line="560" w:lineRule="exac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七、项目采购失败情形</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7.1.因情况变化，不再符合规定的竞争性谈判采购方式适用情形的。</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7.2.出现影响采购公正的违法、违规行为的。</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7.3.在采购过程中符合竞争要求的供应商不足3家的。</w:t>
      </w:r>
    </w:p>
    <w:p>
      <w:pPr>
        <w:spacing w:line="560" w:lineRule="exac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7.4.因重大变故，采购任务取消的。</w:t>
      </w:r>
    </w:p>
    <w:p>
      <w:pPr>
        <w:jc w:val="left"/>
        <w:rPr>
          <w:rFonts w:asciiTheme="majorEastAsia" w:hAnsiTheme="majorEastAsia" w:eastAsiaTheme="majorEastAsia" w:cstheme="majorEastAsia"/>
        </w:rPr>
      </w:pPr>
    </w:p>
    <w:p>
      <w:pPr>
        <w:ind w:firstLine="322"/>
        <w:jc w:val="left"/>
        <w:rPr>
          <w:rFonts w:asciiTheme="majorEastAsia" w:hAnsiTheme="majorEastAsia" w:eastAsiaTheme="majorEastAsia" w:cstheme="majorEastAsia"/>
        </w:rPr>
      </w:pPr>
    </w:p>
    <w:p>
      <w:pPr>
        <w:ind w:firstLine="322"/>
        <w:jc w:val="left"/>
        <w:rPr>
          <w:rFonts w:asciiTheme="majorEastAsia" w:hAnsiTheme="majorEastAsia" w:eastAsiaTheme="majorEastAsia" w:cstheme="majorEastAsia"/>
        </w:rPr>
      </w:pPr>
    </w:p>
    <w:p>
      <w:pPr>
        <w:ind w:firstLine="472"/>
        <w:jc w:val="center"/>
        <w:rPr>
          <w:rFonts w:asciiTheme="majorEastAsia" w:hAnsiTheme="majorEastAsia" w:eastAsiaTheme="majorEastAsia" w:cstheme="majorEastAsia"/>
          <w:b/>
          <w:bCs/>
          <w:sz w:val="32"/>
          <w:szCs w:val="32"/>
        </w:rPr>
      </w:pPr>
    </w:p>
    <w:p>
      <w:pPr>
        <w:ind w:firstLine="472"/>
        <w:jc w:val="center"/>
        <w:rPr>
          <w:rFonts w:asciiTheme="majorEastAsia" w:hAnsiTheme="majorEastAsia" w:eastAsiaTheme="majorEastAsia" w:cstheme="majorEastAsia"/>
          <w:b/>
          <w:bCs/>
          <w:sz w:val="32"/>
          <w:szCs w:val="32"/>
        </w:rPr>
      </w:pPr>
    </w:p>
    <w:p>
      <w:pPr>
        <w:ind w:firstLine="472"/>
        <w:jc w:val="center"/>
        <w:rPr>
          <w:rFonts w:asciiTheme="majorEastAsia" w:hAnsiTheme="majorEastAsia" w:eastAsiaTheme="majorEastAsia" w:cstheme="majorEastAsia"/>
          <w:b/>
          <w:bCs/>
          <w:sz w:val="32"/>
          <w:szCs w:val="32"/>
        </w:rPr>
      </w:pPr>
    </w:p>
    <w:p>
      <w:pPr>
        <w:rPr>
          <w:rFonts w:asciiTheme="majorEastAsia" w:hAnsiTheme="majorEastAsia" w:eastAsiaTheme="majorEastAsia" w:cstheme="majorEastAsia"/>
          <w:b/>
          <w:bCs/>
          <w:sz w:val="32"/>
          <w:szCs w:val="32"/>
        </w:rPr>
      </w:pPr>
    </w:p>
    <w:p/>
    <w:p/>
    <w:p/>
    <w:p/>
    <w:p/>
    <w:p/>
    <w:p/>
    <w:p/>
    <w:p/>
    <w:p/>
    <w:p/>
    <w:p/>
    <w:p/>
    <w:p>
      <w:pPr>
        <w:widowControl/>
        <w:jc w:val="left"/>
        <w:rPr>
          <w:rFonts w:ascii="仿宋" w:hAnsi="仿宋" w:eastAsia="仿宋" w:cs="仿宋"/>
          <w:b/>
          <w:bCs/>
          <w:sz w:val="28"/>
          <w:szCs w:val="36"/>
        </w:rPr>
      </w:pPr>
      <w:r>
        <w:rPr>
          <w:rFonts w:ascii="仿宋" w:hAnsi="仿宋" w:eastAsia="仿宋" w:cs="仿宋"/>
          <w:b/>
          <w:bCs/>
          <w:sz w:val="28"/>
          <w:szCs w:val="36"/>
        </w:rPr>
        <w:br w:type="page"/>
      </w:r>
    </w:p>
    <w:p>
      <w:pPr>
        <w:widowControl/>
        <w:numPr>
          <w:ilvl w:val="255"/>
          <w:numId w:val="0"/>
        </w:numPr>
        <w:spacing w:line="560" w:lineRule="exact"/>
        <w:jc w:val="left"/>
        <w:rPr>
          <w:rFonts w:ascii="仿宋" w:hAnsi="仿宋" w:eastAsia="仿宋" w:cs="仿宋"/>
          <w:b/>
          <w:bCs/>
          <w:sz w:val="28"/>
          <w:szCs w:val="36"/>
        </w:rPr>
      </w:pPr>
      <w:r>
        <w:rPr>
          <w:rFonts w:hint="eastAsia" w:ascii="仿宋" w:hAnsi="仿宋" w:eastAsia="仿宋" w:cs="仿宋"/>
          <w:b/>
          <w:bCs/>
          <w:sz w:val="28"/>
          <w:szCs w:val="36"/>
        </w:rPr>
        <w:t>附件1</w:t>
      </w:r>
    </w:p>
    <w:p>
      <w:pPr>
        <w:widowControl/>
        <w:numPr>
          <w:ilvl w:val="255"/>
          <w:numId w:val="0"/>
        </w:numPr>
        <w:spacing w:line="560" w:lineRule="exact"/>
        <w:jc w:val="center"/>
        <w:rPr>
          <w:rFonts w:ascii="仿宋" w:hAnsi="仿宋" w:eastAsia="仿宋" w:cs="仿宋"/>
          <w:sz w:val="28"/>
          <w:szCs w:val="36"/>
        </w:rPr>
      </w:pPr>
      <w:r>
        <w:rPr>
          <w:rFonts w:hint="eastAsia" w:ascii="仿宋" w:hAnsi="仿宋" w:eastAsia="仿宋" w:cs="仿宋"/>
          <w:b/>
          <w:bCs/>
          <w:sz w:val="28"/>
          <w:szCs w:val="36"/>
        </w:rPr>
        <w:t>意向承诺函</w:t>
      </w:r>
    </w:p>
    <w:p>
      <w:pPr>
        <w:widowControl/>
        <w:numPr>
          <w:ilvl w:val="255"/>
          <w:numId w:val="0"/>
        </w:numPr>
        <w:spacing w:line="560" w:lineRule="exact"/>
        <w:jc w:val="left"/>
        <w:rPr>
          <w:rFonts w:ascii="仿宋" w:hAnsi="仿宋" w:eastAsia="仿宋" w:cs="仿宋"/>
          <w:sz w:val="28"/>
          <w:szCs w:val="36"/>
        </w:rPr>
      </w:pPr>
      <w:r>
        <w:rPr>
          <w:rFonts w:hint="eastAsia" w:ascii="仿宋" w:hAnsi="仿宋" w:eastAsia="仿宋" w:cs="仿宋"/>
          <w:sz w:val="28"/>
          <w:szCs w:val="36"/>
        </w:rPr>
        <w:t>致：广州新仕诚企业发展股份有限公司</w:t>
      </w:r>
    </w:p>
    <w:p>
      <w:pPr>
        <w:widowControl/>
        <w:numPr>
          <w:ilvl w:val="255"/>
          <w:numId w:val="0"/>
        </w:numPr>
        <w:spacing w:line="560" w:lineRule="exact"/>
        <w:jc w:val="left"/>
        <w:rPr>
          <w:rFonts w:ascii="仿宋" w:hAnsi="仿宋" w:eastAsia="仿宋" w:cs="仿宋"/>
          <w:sz w:val="28"/>
          <w:szCs w:val="36"/>
        </w:rPr>
      </w:pPr>
      <w:r>
        <w:rPr>
          <w:rFonts w:hint="eastAsia" w:ascii="仿宋" w:hAnsi="仿宋" w:eastAsia="仿宋" w:cs="仿宋"/>
          <w:sz w:val="28"/>
          <w:szCs w:val="36"/>
        </w:rPr>
        <w:tab/>
      </w:r>
      <w:r>
        <w:rPr>
          <w:rFonts w:hint="eastAsia" w:ascii="仿宋" w:hAnsi="仿宋" w:eastAsia="仿宋" w:cs="仿宋"/>
          <w:sz w:val="28"/>
          <w:szCs w:val="36"/>
        </w:rPr>
        <w:t>为响应你方组织的项目名称：</w:t>
      </w:r>
      <w:r>
        <w:rPr>
          <w:rFonts w:hint="eastAsia" w:ascii="仿宋" w:hAnsi="仿宋" w:eastAsia="仿宋" w:cs="仿宋"/>
          <w:sz w:val="28"/>
          <w:szCs w:val="36"/>
          <w:u w:val="single"/>
        </w:rPr>
        <w:t>T.I.T双鱼文体数字产业园燕子岗南路13号羽毛球馆合作运营项目</w:t>
      </w:r>
      <w:r>
        <w:rPr>
          <w:rFonts w:hint="eastAsia" w:ascii="仿宋" w:hAnsi="仿宋" w:eastAsia="仿宋" w:cs="仿宋"/>
          <w:sz w:val="28"/>
          <w:szCs w:val="36"/>
        </w:rPr>
        <w:t>的竞争性谈判，我方在参与报价前已详细研究了谈判文件的所有内容，包括修改文件（如果有的话）和所有已提供的参考资料以及有关附件，我方完全明白并认为此谈判文件没有倾向性，也没有存在排斥潜在合作运营方的内容，我方并同意谈判文件的相关条款。</w:t>
      </w:r>
    </w:p>
    <w:p>
      <w:pPr>
        <w:widowControl/>
        <w:numPr>
          <w:ilvl w:val="255"/>
          <w:numId w:val="0"/>
        </w:numPr>
        <w:spacing w:line="560" w:lineRule="exact"/>
        <w:jc w:val="left"/>
        <w:rPr>
          <w:rFonts w:ascii="仿宋" w:hAnsi="仿宋" w:eastAsia="仿宋" w:cs="仿宋"/>
          <w:sz w:val="28"/>
          <w:szCs w:val="36"/>
        </w:rPr>
      </w:pPr>
      <w:r>
        <w:rPr>
          <w:rFonts w:hint="eastAsia" w:ascii="仿宋" w:hAnsi="仿宋" w:eastAsia="仿宋" w:cs="仿宋"/>
          <w:sz w:val="28"/>
          <w:szCs w:val="36"/>
        </w:rPr>
        <w:t>特此声明。</w:t>
      </w:r>
    </w:p>
    <w:p>
      <w:pPr>
        <w:widowControl/>
        <w:numPr>
          <w:ilvl w:val="255"/>
          <w:numId w:val="0"/>
        </w:numPr>
        <w:spacing w:line="560" w:lineRule="exact"/>
        <w:jc w:val="left"/>
        <w:rPr>
          <w:rFonts w:ascii="仿宋" w:hAnsi="仿宋" w:eastAsia="仿宋" w:cs="仿宋"/>
          <w:sz w:val="28"/>
          <w:szCs w:val="36"/>
        </w:rPr>
      </w:pPr>
    </w:p>
    <w:p>
      <w:pPr>
        <w:widowControl/>
        <w:numPr>
          <w:ilvl w:val="255"/>
          <w:numId w:val="0"/>
        </w:numPr>
        <w:spacing w:line="560" w:lineRule="exact"/>
        <w:jc w:val="left"/>
        <w:rPr>
          <w:rFonts w:ascii="仿宋" w:hAnsi="仿宋" w:eastAsia="仿宋" w:cs="仿宋"/>
          <w:sz w:val="28"/>
          <w:szCs w:val="36"/>
        </w:rPr>
      </w:pPr>
      <w:r>
        <w:rPr>
          <w:rFonts w:hint="eastAsia" w:ascii="仿宋" w:hAnsi="仿宋" w:eastAsia="仿宋" w:cs="仿宋"/>
          <w:sz w:val="28"/>
          <w:szCs w:val="36"/>
        </w:rPr>
        <w:t>合作运营方全称（加盖公章）：</w:t>
      </w:r>
    </w:p>
    <w:p>
      <w:pPr>
        <w:widowControl/>
        <w:numPr>
          <w:ilvl w:val="255"/>
          <w:numId w:val="0"/>
        </w:numPr>
        <w:spacing w:line="560" w:lineRule="exact"/>
        <w:jc w:val="left"/>
        <w:rPr>
          <w:rFonts w:ascii="仿宋" w:hAnsi="仿宋" w:eastAsia="仿宋" w:cs="仿宋"/>
          <w:sz w:val="28"/>
          <w:szCs w:val="36"/>
        </w:rPr>
      </w:pPr>
      <w:r>
        <w:rPr>
          <w:rFonts w:hint="eastAsia" w:ascii="仿宋" w:hAnsi="仿宋" w:eastAsia="仿宋" w:cs="仿宋"/>
          <w:sz w:val="28"/>
          <w:szCs w:val="36"/>
        </w:rPr>
        <w:t>法定代表或其授权代表（签字）：</w:t>
      </w:r>
    </w:p>
    <w:p>
      <w:pPr>
        <w:widowControl/>
        <w:numPr>
          <w:ilvl w:val="255"/>
          <w:numId w:val="0"/>
        </w:numPr>
        <w:spacing w:line="560" w:lineRule="exact"/>
        <w:jc w:val="left"/>
        <w:rPr>
          <w:rFonts w:ascii="仿宋" w:hAnsi="仿宋" w:eastAsia="仿宋" w:cs="仿宋"/>
          <w:b/>
          <w:bCs/>
          <w:sz w:val="28"/>
          <w:szCs w:val="36"/>
        </w:rPr>
      </w:pPr>
    </w:p>
    <w:p>
      <w:pPr>
        <w:widowControl/>
        <w:numPr>
          <w:ilvl w:val="255"/>
          <w:numId w:val="0"/>
        </w:numPr>
        <w:spacing w:line="560" w:lineRule="exact"/>
        <w:jc w:val="left"/>
        <w:rPr>
          <w:rFonts w:ascii="仿宋" w:hAnsi="仿宋" w:eastAsia="仿宋" w:cs="仿宋"/>
          <w:b/>
          <w:bCs/>
          <w:sz w:val="28"/>
          <w:szCs w:val="36"/>
        </w:rPr>
      </w:pPr>
    </w:p>
    <w:p>
      <w:pPr>
        <w:widowControl/>
        <w:numPr>
          <w:ilvl w:val="255"/>
          <w:numId w:val="0"/>
        </w:numPr>
        <w:spacing w:line="560" w:lineRule="exact"/>
        <w:jc w:val="left"/>
        <w:rPr>
          <w:rFonts w:ascii="仿宋" w:hAnsi="仿宋" w:eastAsia="仿宋" w:cs="仿宋"/>
          <w:b/>
          <w:bCs/>
          <w:sz w:val="28"/>
          <w:szCs w:val="36"/>
        </w:rPr>
      </w:pPr>
    </w:p>
    <w:p>
      <w:pPr>
        <w:widowControl/>
        <w:numPr>
          <w:ilvl w:val="255"/>
          <w:numId w:val="0"/>
        </w:numPr>
        <w:spacing w:line="560" w:lineRule="exact"/>
        <w:jc w:val="left"/>
        <w:rPr>
          <w:rFonts w:ascii="仿宋" w:hAnsi="仿宋" w:eastAsia="仿宋" w:cs="仿宋"/>
          <w:b/>
          <w:bCs/>
          <w:sz w:val="28"/>
          <w:szCs w:val="36"/>
        </w:rPr>
      </w:pPr>
    </w:p>
    <w:p>
      <w:pPr>
        <w:widowControl/>
        <w:numPr>
          <w:ilvl w:val="255"/>
          <w:numId w:val="0"/>
        </w:numPr>
        <w:spacing w:line="560" w:lineRule="exact"/>
        <w:jc w:val="left"/>
        <w:rPr>
          <w:rFonts w:ascii="仿宋" w:hAnsi="仿宋" w:eastAsia="仿宋" w:cs="仿宋"/>
          <w:b/>
          <w:bCs/>
          <w:sz w:val="28"/>
          <w:szCs w:val="36"/>
        </w:rPr>
      </w:pPr>
    </w:p>
    <w:p>
      <w:pPr>
        <w:widowControl/>
        <w:jc w:val="left"/>
        <w:rPr>
          <w:rFonts w:ascii="仿宋" w:hAnsi="仿宋" w:eastAsia="仿宋" w:cs="仿宋"/>
          <w:b/>
          <w:bCs/>
          <w:sz w:val="28"/>
          <w:szCs w:val="36"/>
        </w:rPr>
      </w:pPr>
      <w:r>
        <w:rPr>
          <w:rFonts w:ascii="仿宋" w:hAnsi="仿宋" w:eastAsia="仿宋" w:cs="仿宋"/>
          <w:b/>
          <w:bCs/>
          <w:sz w:val="28"/>
          <w:szCs w:val="36"/>
        </w:rPr>
        <w:br w:type="page"/>
      </w:r>
    </w:p>
    <w:p>
      <w:pPr>
        <w:widowControl/>
        <w:numPr>
          <w:ilvl w:val="255"/>
          <w:numId w:val="0"/>
        </w:numPr>
        <w:spacing w:line="560" w:lineRule="exact"/>
        <w:jc w:val="left"/>
        <w:rPr>
          <w:rFonts w:ascii="仿宋" w:hAnsi="仿宋" w:eastAsia="仿宋" w:cs="仿宋"/>
          <w:sz w:val="28"/>
          <w:szCs w:val="36"/>
        </w:rPr>
      </w:pPr>
      <w:r>
        <w:rPr>
          <w:rFonts w:hint="eastAsia" w:ascii="仿宋" w:hAnsi="仿宋" w:eastAsia="仿宋" w:cs="仿宋"/>
          <w:b/>
          <w:bCs/>
          <w:sz w:val="28"/>
          <w:szCs w:val="36"/>
        </w:rPr>
        <w:t>附件2</w:t>
      </w:r>
    </w:p>
    <w:p>
      <w:pPr>
        <w:widowControl/>
        <w:numPr>
          <w:ilvl w:val="255"/>
          <w:numId w:val="0"/>
        </w:numPr>
        <w:spacing w:line="560" w:lineRule="exact"/>
        <w:jc w:val="left"/>
        <w:rPr>
          <w:rFonts w:ascii="仿宋" w:hAnsi="仿宋" w:eastAsia="仿宋" w:cs="仿宋"/>
          <w:b/>
          <w:bCs/>
          <w:sz w:val="28"/>
          <w:szCs w:val="36"/>
        </w:rPr>
      </w:pPr>
    </w:p>
    <w:p>
      <w:pPr>
        <w:pStyle w:val="3"/>
        <w:spacing w:line="560" w:lineRule="exact"/>
        <w:jc w:val="center"/>
        <w:rPr>
          <w:rFonts w:ascii="黑体" w:hAnsi="黑体" w:eastAsia="黑体" w:cs="黑体"/>
          <w:b/>
          <w:sz w:val="32"/>
          <w:szCs w:val="32"/>
        </w:rPr>
      </w:pPr>
    </w:p>
    <w:p>
      <w:pPr>
        <w:pStyle w:val="3"/>
        <w:spacing w:line="560" w:lineRule="exact"/>
        <w:jc w:val="center"/>
        <w:rPr>
          <w:rFonts w:ascii="黑体" w:hAnsi="黑体" w:eastAsia="黑体" w:cs="黑体"/>
          <w:b/>
          <w:sz w:val="32"/>
        </w:rPr>
      </w:pPr>
      <w:r>
        <w:rPr>
          <w:rFonts w:hint="eastAsia" w:ascii="黑体" w:hAnsi="黑体" w:eastAsia="黑体" w:cs="黑体"/>
          <w:b/>
          <w:sz w:val="32"/>
          <w:szCs w:val="32"/>
        </w:rPr>
        <w:t>竞争性谈判报价表</w:t>
      </w:r>
    </w:p>
    <w:tbl>
      <w:tblPr>
        <w:tblStyle w:val="7"/>
        <w:tblpPr w:leftFromText="180" w:rightFromText="180" w:vertAnchor="text" w:horzAnchor="margin" w:tblpXSpec="right" w:tblpY="134"/>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34"/>
        <w:gridCol w:w="6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4" w:hRule="atLeast"/>
        </w:trPr>
        <w:tc>
          <w:tcPr>
            <w:tcW w:w="2534" w:type="dxa"/>
            <w:tcMar>
              <w:top w:w="15" w:type="dxa"/>
              <w:left w:w="15" w:type="dxa"/>
              <w:bottom w:w="0" w:type="dxa"/>
              <w:right w:w="15" w:type="dxa"/>
            </w:tcMar>
            <w:vAlign w:val="center"/>
          </w:tcPr>
          <w:p>
            <w:pPr>
              <w:spacing w:line="340" w:lineRule="exact"/>
              <w:jc w:val="center"/>
              <w:rPr>
                <w:rFonts w:ascii="仿宋" w:hAnsi="仿宋" w:eastAsia="仿宋" w:cs="仿宋"/>
                <w:b/>
                <w:sz w:val="24"/>
              </w:rPr>
            </w:pPr>
            <w:r>
              <w:rPr>
                <w:rFonts w:hint="eastAsia" w:ascii="仿宋" w:hAnsi="仿宋" w:eastAsia="仿宋" w:cs="仿宋"/>
                <w:b/>
                <w:kern w:val="0"/>
                <w:sz w:val="24"/>
                <w:szCs w:val="32"/>
              </w:rPr>
              <w:t>项目名称</w:t>
            </w:r>
          </w:p>
        </w:tc>
        <w:tc>
          <w:tcPr>
            <w:tcW w:w="6413" w:type="dxa"/>
            <w:tcMar>
              <w:top w:w="15" w:type="dxa"/>
              <w:left w:w="15" w:type="dxa"/>
              <w:bottom w:w="0" w:type="dxa"/>
              <w:right w:w="15" w:type="dxa"/>
            </w:tcMar>
            <w:vAlign w:val="center"/>
          </w:tcPr>
          <w:p>
            <w:pPr>
              <w:spacing w:line="340" w:lineRule="exact"/>
              <w:jc w:val="center"/>
              <w:rPr>
                <w:rFonts w:ascii="仿宋" w:hAnsi="仿宋" w:eastAsia="仿宋" w:cs="仿宋"/>
                <w:b/>
                <w:sz w:val="24"/>
              </w:rPr>
            </w:pPr>
            <w:r>
              <w:rPr>
                <w:rFonts w:hint="eastAsia" w:ascii="仿宋" w:hAnsi="仿宋" w:eastAsia="仿宋" w:cs="仿宋"/>
                <w:b/>
                <w:kern w:val="0"/>
                <w:sz w:val="24"/>
                <w:szCs w:val="32"/>
              </w:rPr>
              <w:t>报价明细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90" w:hRule="atLeast"/>
        </w:trPr>
        <w:tc>
          <w:tcPr>
            <w:tcW w:w="2534" w:type="dxa"/>
            <w:tcMar>
              <w:top w:w="15" w:type="dxa"/>
              <w:left w:w="15" w:type="dxa"/>
              <w:bottom w:w="0" w:type="dxa"/>
              <w:right w:w="15" w:type="dxa"/>
            </w:tcMar>
            <w:vAlign w:val="center"/>
          </w:tcPr>
          <w:p>
            <w:pPr>
              <w:spacing w:line="520" w:lineRule="exact"/>
              <w:jc w:val="center"/>
              <w:rPr>
                <w:rFonts w:ascii="仿宋" w:hAnsi="仿宋" w:eastAsia="仿宋" w:cs="仿宋"/>
                <w:sz w:val="24"/>
              </w:rPr>
            </w:pPr>
            <w:r>
              <w:rPr>
                <w:rFonts w:hint="eastAsia" w:ascii="仿宋" w:hAnsi="仿宋" w:eastAsia="仿宋" w:cs="仿宋"/>
                <w:bCs/>
                <w:kern w:val="0"/>
                <w:sz w:val="24"/>
                <w:szCs w:val="32"/>
              </w:rPr>
              <w:t>T.I.T双鱼文体数字产业园燕子岗南路13号羽毛球馆合作运营项目</w:t>
            </w:r>
          </w:p>
        </w:tc>
        <w:tc>
          <w:tcPr>
            <w:tcW w:w="6413" w:type="dxa"/>
            <w:tcMar>
              <w:top w:w="15" w:type="dxa"/>
              <w:left w:w="15" w:type="dxa"/>
              <w:bottom w:w="0" w:type="dxa"/>
              <w:right w:w="15" w:type="dxa"/>
            </w:tcMar>
            <w:vAlign w:val="center"/>
          </w:tcPr>
          <w:p>
            <w:pPr>
              <w:numPr>
                <w:ilvl w:val="0"/>
                <w:numId w:val="2"/>
              </w:numPr>
              <w:spacing w:line="520" w:lineRule="exact"/>
              <w:jc w:val="left"/>
              <w:outlineLvl w:val="0"/>
              <w:rPr>
                <w:rFonts w:ascii="仿宋" w:hAnsi="仿宋" w:eastAsia="仿宋" w:cs="仿宋"/>
                <w:bCs/>
                <w:kern w:val="0"/>
                <w:sz w:val="24"/>
                <w:szCs w:val="32"/>
                <w:highlight w:val="none"/>
                <w:u w:val="single"/>
              </w:rPr>
            </w:pPr>
            <w:r>
              <w:rPr>
                <w:rFonts w:hint="eastAsia" w:ascii="仿宋" w:hAnsi="仿宋" w:eastAsia="仿宋" w:cs="仿宋"/>
                <w:bCs/>
                <w:kern w:val="0"/>
                <w:sz w:val="24"/>
                <w:szCs w:val="32"/>
              </w:rPr>
              <w:t>我方承诺每月保底营业收入总额：</w:t>
            </w:r>
            <w:r>
              <w:rPr>
                <w:rFonts w:hint="eastAsia" w:ascii="仿宋" w:hAnsi="仿宋" w:eastAsia="仿宋" w:cs="仿宋"/>
                <w:bCs/>
                <w:kern w:val="0"/>
                <w:sz w:val="24"/>
                <w:szCs w:val="32"/>
                <w:highlight w:val="none"/>
                <w:u w:val="single"/>
              </w:rPr>
              <w:t xml:space="preserve">            元（小写）</w:t>
            </w:r>
          </w:p>
          <w:p>
            <w:pPr>
              <w:spacing w:line="520" w:lineRule="exact"/>
              <w:ind w:firstLine="240" w:firstLineChars="100"/>
              <w:jc w:val="left"/>
              <w:outlineLvl w:val="0"/>
              <w:rPr>
                <w:rFonts w:ascii="仿宋" w:hAnsi="仿宋" w:eastAsia="仿宋" w:cs="仿宋"/>
                <w:bCs/>
                <w:kern w:val="0"/>
                <w:sz w:val="24"/>
                <w:szCs w:val="32"/>
                <w:highlight w:val="yellow"/>
                <w:u w:val="single"/>
              </w:rPr>
            </w:pPr>
            <w:r>
              <w:rPr>
                <w:rFonts w:hint="eastAsia" w:ascii="仿宋" w:hAnsi="仿宋" w:eastAsia="仿宋" w:cs="仿宋"/>
                <w:bCs/>
                <w:kern w:val="0"/>
                <w:sz w:val="24"/>
                <w:szCs w:val="32"/>
                <w:highlight w:val="none"/>
                <w:u w:val="single"/>
              </w:rPr>
              <w:t xml:space="preserve">                                            （大写）</w:t>
            </w:r>
          </w:p>
          <w:p>
            <w:pPr>
              <w:spacing w:line="520" w:lineRule="exact"/>
              <w:jc w:val="left"/>
              <w:outlineLvl w:val="0"/>
              <w:rPr>
                <w:rFonts w:ascii="仿宋" w:hAnsi="仿宋" w:eastAsia="仿宋" w:cs="仿宋"/>
                <w:bCs/>
                <w:kern w:val="0"/>
                <w:sz w:val="24"/>
                <w:szCs w:val="32"/>
                <w:u w:val="single"/>
              </w:rPr>
            </w:pPr>
            <w:r>
              <w:rPr>
                <w:rFonts w:hint="eastAsia" w:ascii="仿宋" w:hAnsi="仿宋" w:eastAsia="仿宋" w:cs="仿宋"/>
                <w:bCs/>
                <w:kern w:val="0"/>
                <w:sz w:val="24"/>
                <w:szCs w:val="32"/>
              </w:rPr>
              <w:t>（以最终谈判结果为准。每月保底营业收入总额将全部支付给项目单位作为合作分成，若当月未能达到每月保底营业收入总额，差额部分由我司支付给项目单位。）</w:t>
            </w:r>
          </w:p>
          <w:p>
            <w:pPr>
              <w:spacing w:line="5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0" w:hRule="atLeast"/>
        </w:trPr>
        <w:tc>
          <w:tcPr>
            <w:tcW w:w="2534" w:type="dxa"/>
            <w:tcMar>
              <w:top w:w="15" w:type="dxa"/>
              <w:left w:w="15" w:type="dxa"/>
              <w:bottom w:w="0" w:type="dxa"/>
              <w:right w:w="15" w:type="dxa"/>
            </w:tcMar>
            <w:vAlign w:val="center"/>
          </w:tcPr>
          <w:p>
            <w:pPr>
              <w:spacing w:line="520" w:lineRule="exact"/>
              <w:jc w:val="center"/>
              <w:rPr>
                <w:rFonts w:ascii="仿宋" w:hAnsi="仿宋" w:eastAsia="仿宋" w:cs="仿宋"/>
                <w:bCs/>
                <w:kern w:val="0"/>
                <w:sz w:val="24"/>
                <w:szCs w:val="32"/>
              </w:rPr>
            </w:pPr>
            <w:r>
              <w:rPr>
                <w:rFonts w:hint="eastAsia" w:ascii="仿宋" w:hAnsi="仿宋" w:eastAsia="仿宋" w:cs="仿宋"/>
                <w:bCs/>
                <w:kern w:val="0"/>
                <w:sz w:val="24"/>
                <w:szCs w:val="32"/>
              </w:rPr>
              <w:t>合作运营方全称（加盖公章）：</w:t>
            </w:r>
          </w:p>
        </w:tc>
        <w:tc>
          <w:tcPr>
            <w:tcW w:w="6413" w:type="dxa"/>
            <w:tcMar>
              <w:top w:w="15" w:type="dxa"/>
              <w:left w:w="15" w:type="dxa"/>
              <w:bottom w:w="0" w:type="dxa"/>
              <w:right w:w="15" w:type="dxa"/>
            </w:tcMar>
            <w:vAlign w:val="center"/>
          </w:tcPr>
          <w:p>
            <w:pPr>
              <w:spacing w:line="52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45" w:hRule="atLeast"/>
        </w:trPr>
        <w:tc>
          <w:tcPr>
            <w:tcW w:w="2534" w:type="dxa"/>
            <w:tcMar>
              <w:top w:w="15" w:type="dxa"/>
              <w:left w:w="15" w:type="dxa"/>
              <w:bottom w:w="0" w:type="dxa"/>
              <w:right w:w="15" w:type="dxa"/>
            </w:tcMar>
            <w:vAlign w:val="center"/>
          </w:tcPr>
          <w:p>
            <w:pPr>
              <w:spacing w:line="520" w:lineRule="exact"/>
              <w:jc w:val="center"/>
              <w:rPr>
                <w:rFonts w:ascii="仿宋" w:hAnsi="仿宋" w:eastAsia="仿宋" w:cs="仿宋"/>
                <w:sz w:val="24"/>
              </w:rPr>
            </w:pPr>
            <w:r>
              <w:rPr>
                <w:rFonts w:hint="eastAsia" w:ascii="仿宋" w:hAnsi="仿宋" w:eastAsia="仿宋" w:cs="仿宋"/>
                <w:bCs/>
                <w:kern w:val="0"/>
                <w:sz w:val="24"/>
                <w:szCs w:val="32"/>
              </w:rPr>
              <w:t>法定代表或其授权代表（签字）：</w:t>
            </w:r>
          </w:p>
        </w:tc>
        <w:tc>
          <w:tcPr>
            <w:tcW w:w="6413" w:type="dxa"/>
            <w:tcMar>
              <w:top w:w="15" w:type="dxa"/>
              <w:left w:w="15" w:type="dxa"/>
              <w:bottom w:w="0" w:type="dxa"/>
              <w:right w:w="15" w:type="dxa"/>
            </w:tcMar>
            <w:vAlign w:val="center"/>
          </w:tcPr>
          <w:p>
            <w:pPr>
              <w:spacing w:line="340" w:lineRule="exact"/>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3" w:hRule="atLeast"/>
        </w:trPr>
        <w:tc>
          <w:tcPr>
            <w:tcW w:w="8947" w:type="dxa"/>
            <w:gridSpan w:val="2"/>
            <w:tcMar>
              <w:top w:w="15" w:type="dxa"/>
              <w:left w:w="15" w:type="dxa"/>
              <w:bottom w:w="0" w:type="dxa"/>
              <w:right w:w="15" w:type="dxa"/>
            </w:tcMar>
            <w:vAlign w:val="center"/>
          </w:tcPr>
          <w:p>
            <w:pPr>
              <w:spacing w:line="340" w:lineRule="exact"/>
              <w:jc w:val="left"/>
              <w:rPr>
                <w:rFonts w:ascii="仿宋" w:hAnsi="仿宋" w:eastAsia="仿宋" w:cs="仿宋"/>
                <w:sz w:val="24"/>
              </w:rPr>
            </w:pPr>
            <w:r>
              <w:rPr>
                <w:rFonts w:hint="eastAsia" w:ascii="仿宋" w:hAnsi="仿宋" w:eastAsia="仿宋" w:cs="仿宋"/>
                <w:sz w:val="24"/>
              </w:rPr>
              <w:t>保底营业额</w:t>
            </w:r>
            <w:r>
              <w:rPr>
                <w:rFonts w:hint="eastAsia" w:ascii="仿宋" w:hAnsi="仿宋" w:eastAsia="仿宋" w:cs="仿宋"/>
                <w:bCs/>
                <w:kern w:val="0"/>
                <w:sz w:val="24"/>
                <w:szCs w:val="32"/>
              </w:rPr>
              <w:t>参考基准值：56400元</w:t>
            </w:r>
            <w:r>
              <w:rPr>
                <w:rFonts w:hint="eastAsia" w:ascii="仿宋" w:hAnsi="仿宋" w:eastAsia="仿宋" w:cs="仿宋"/>
                <w:sz w:val="24"/>
              </w:rPr>
              <w:t>；</w:t>
            </w:r>
          </w:p>
          <w:p>
            <w:pPr>
              <w:spacing w:line="340" w:lineRule="exact"/>
              <w:jc w:val="left"/>
              <w:rPr>
                <w:rFonts w:ascii="仿宋" w:hAnsi="仿宋" w:eastAsia="仿宋" w:cs="仿宋"/>
                <w:sz w:val="24"/>
              </w:rPr>
            </w:pPr>
            <w:r>
              <w:rPr>
                <w:rFonts w:hint="eastAsia" w:ascii="仿宋" w:hAnsi="仿宋" w:eastAsia="仿宋" w:cs="仿宋"/>
                <w:sz w:val="24"/>
              </w:rPr>
              <w:t>经营期限：</w:t>
            </w:r>
            <w:r>
              <w:rPr>
                <w:rFonts w:hint="eastAsia" w:ascii="仿宋" w:hAnsi="仿宋" w:eastAsia="仿宋" w:cs="仿宋"/>
                <w:kern w:val="0"/>
                <w:sz w:val="24"/>
                <w:highlight w:val="none"/>
              </w:rPr>
              <w:t>2022年7月1日起至2023年12月31日止</w:t>
            </w:r>
            <w:r>
              <w:rPr>
                <w:rFonts w:hint="eastAsia" w:ascii="仿宋" w:hAnsi="仿宋" w:eastAsia="仿宋" w:cs="仿宋"/>
                <w:kern w:val="0"/>
                <w:sz w:val="24"/>
              </w:rPr>
              <w:t>。</w:t>
            </w:r>
          </w:p>
        </w:tc>
      </w:tr>
    </w:tbl>
    <w:p>
      <w:pPr>
        <w:spacing w:line="560" w:lineRule="exact"/>
        <w:ind w:firstLine="560" w:firstLineChars="200"/>
        <w:rPr>
          <w:rFonts w:ascii="仿宋" w:hAnsi="仿宋" w:eastAsia="仿宋" w:cs="仿宋"/>
          <w:sz w:val="28"/>
          <w:szCs w:val="28"/>
        </w:rPr>
      </w:pPr>
    </w:p>
    <w:p>
      <w:pPr>
        <w:spacing w:line="560" w:lineRule="exact"/>
        <w:ind w:firstLine="560" w:firstLineChars="200"/>
        <w:rPr>
          <w:rFonts w:ascii="仿宋" w:hAnsi="仿宋" w:eastAsia="仿宋" w:cs="仿宋"/>
          <w:sz w:val="28"/>
          <w:szCs w:val="28"/>
        </w:rPr>
      </w:pPr>
    </w:p>
    <w:p>
      <w:pPr>
        <w:widowControl/>
        <w:numPr>
          <w:ilvl w:val="255"/>
          <w:numId w:val="0"/>
        </w:numPr>
        <w:spacing w:line="560" w:lineRule="exact"/>
        <w:jc w:val="left"/>
        <w:rPr>
          <w:rFonts w:ascii="仿宋" w:hAnsi="仿宋" w:eastAsia="仿宋" w:cs="仿宋"/>
          <w:b/>
          <w:bCs/>
          <w:sz w:val="28"/>
          <w:szCs w:val="36"/>
        </w:rPr>
      </w:pPr>
    </w:p>
    <w:tbl>
      <w:tblPr>
        <w:tblStyle w:val="7"/>
        <w:tblpPr w:leftFromText="180" w:rightFromText="180" w:vertAnchor="text" w:horzAnchor="page" w:tblpX="1199" w:tblpY="7510"/>
        <w:tblOverlap w:val="never"/>
        <w:tblW w:w="9520" w:type="dxa"/>
        <w:tblInd w:w="0" w:type="dxa"/>
        <w:tblLayout w:type="fixed"/>
        <w:tblCellMar>
          <w:top w:w="0" w:type="dxa"/>
          <w:left w:w="0" w:type="dxa"/>
          <w:bottom w:w="0" w:type="dxa"/>
          <w:right w:w="0" w:type="dxa"/>
        </w:tblCellMar>
      </w:tblPr>
      <w:tblGrid>
        <w:gridCol w:w="600"/>
        <w:gridCol w:w="1000"/>
        <w:gridCol w:w="1090"/>
        <w:gridCol w:w="610"/>
        <w:gridCol w:w="6220"/>
      </w:tblGrid>
      <w:tr>
        <w:tblPrEx>
          <w:tblLayout w:type="fixed"/>
          <w:tblCellMar>
            <w:top w:w="0" w:type="dxa"/>
            <w:left w:w="0" w:type="dxa"/>
            <w:bottom w:w="0" w:type="dxa"/>
            <w:right w:w="0" w:type="dxa"/>
          </w:tblCellMar>
        </w:tblPrEx>
        <w:trPr>
          <w:trHeight w:val="42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10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类别</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分项类容</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分值</w:t>
            </w:r>
          </w:p>
        </w:tc>
        <w:tc>
          <w:tcPr>
            <w:tcW w:w="62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评分说明及标准</w:t>
            </w:r>
          </w:p>
        </w:tc>
      </w:tr>
      <w:tr>
        <w:tblPrEx>
          <w:tblLayout w:type="fixed"/>
          <w:tblCellMar>
            <w:top w:w="0" w:type="dxa"/>
            <w:left w:w="0" w:type="dxa"/>
            <w:bottom w:w="0" w:type="dxa"/>
            <w:right w:w="0" w:type="dxa"/>
          </w:tblCellMar>
        </w:tblPrEx>
        <w:trPr>
          <w:trHeight w:val="312" w:hRule="atLeast"/>
        </w:trPr>
        <w:tc>
          <w:tcPr>
            <w:tcW w:w="60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62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878" w:hRule="atLeast"/>
        </w:trPr>
        <w:tc>
          <w:tcPr>
            <w:tcW w:w="600"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w:t>
            </w:r>
          </w:p>
        </w:tc>
        <w:tc>
          <w:tcPr>
            <w:tcW w:w="1000"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企业综合实力得分（30分）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企业注册资金</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ascii="宋体" w:hAnsi="宋体" w:eastAsia="宋体" w:cs="宋体"/>
                <w:color w:val="000000"/>
                <w:kern w:val="0"/>
                <w:sz w:val="22"/>
                <w:szCs w:val="22"/>
                <w:lang w:bidi="ar"/>
              </w:rPr>
              <w:t>10</w:t>
            </w:r>
          </w:p>
        </w:tc>
        <w:tc>
          <w:tcPr>
            <w:tcW w:w="6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注册资金在20万元以下的得</w:t>
            </w:r>
            <w:r>
              <w:rPr>
                <w:rFonts w:ascii="宋体" w:hAnsi="宋体" w:eastAsia="宋体" w:cs="宋体"/>
                <w:color w:val="000000"/>
                <w:kern w:val="0"/>
                <w:sz w:val="22"/>
                <w:szCs w:val="22"/>
                <w:lang w:bidi="ar"/>
              </w:rPr>
              <w:t>2</w:t>
            </w:r>
            <w:r>
              <w:rPr>
                <w:rFonts w:hint="eastAsia" w:ascii="宋体" w:hAnsi="宋体" w:eastAsia="宋体" w:cs="宋体"/>
                <w:color w:val="000000"/>
                <w:kern w:val="0"/>
                <w:sz w:val="22"/>
                <w:szCs w:val="22"/>
                <w:lang w:bidi="ar"/>
              </w:rPr>
              <w:t>分； 20万元≤注册资金＜50万元的得4分；50万元≤注册资金＜100万元的得6分； 100万元≤注册资金的得</w:t>
            </w:r>
            <w:r>
              <w:rPr>
                <w:rFonts w:ascii="宋体" w:hAnsi="宋体" w:eastAsia="宋体" w:cs="宋体"/>
                <w:color w:val="000000"/>
                <w:kern w:val="0"/>
                <w:sz w:val="22"/>
                <w:szCs w:val="22"/>
                <w:lang w:bidi="ar"/>
              </w:rPr>
              <w:t>10</w:t>
            </w:r>
            <w:r>
              <w:rPr>
                <w:rFonts w:hint="eastAsia" w:ascii="宋体" w:hAnsi="宋体" w:eastAsia="宋体" w:cs="宋体"/>
                <w:color w:val="000000"/>
                <w:kern w:val="0"/>
                <w:sz w:val="22"/>
                <w:szCs w:val="22"/>
                <w:lang w:bidi="ar"/>
              </w:rPr>
              <w:t>分，最高1</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分。</w:t>
            </w:r>
          </w:p>
        </w:tc>
      </w:tr>
      <w:tr>
        <w:tblPrEx>
          <w:tblLayout w:type="fixed"/>
          <w:tblCellMar>
            <w:top w:w="0" w:type="dxa"/>
            <w:left w:w="0" w:type="dxa"/>
            <w:bottom w:w="0" w:type="dxa"/>
            <w:right w:w="0" w:type="dxa"/>
          </w:tblCellMar>
        </w:tblPrEx>
        <w:trPr>
          <w:trHeight w:val="560" w:hRule="atLeast"/>
        </w:trPr>
        <w:tc>
          <w:tcPr>
            <w:tcW w:w="60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0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业绩</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6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2019年至今运营过的类似项目业绩，每个得2分</w:t>
            </w:r>
          </w:p>
        </w:tc>
      </w:tr>
      <w:tr>
        <w:tblPrEx>
          <w:tblLayout w:type="fixed"/>
          <w:tblCellMar>
            <w:top w:w="0" w:type="dxa"/>
            <w:left w:w="0" w:type="dxa"/>
            <w:bottom w:w="0" w:type="dxa"/>
            <w:right w:w="0" w:type="dxa"/>
          </w:tblCellMar>
        </w:tblPrEx>
        <w:trPr>
          <w:trHeight w:val="600" w:hRule="atLeast"/>
        </w:trPr>
        <w:tc>
          <w:tcPr>
            <w:tcW w:w="600"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szCs w:val="22"/>
              </w:rPr>
            </w:pPr>
          </w:p>
        </w:tc>
        <w:tc>
          <w:tcPr>
            <w:tcW w:w="100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项目团队资格证书</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r>
              <w:rPr>
                <w:rFonts w:ascii="宋体" w:hAnsi="宋体" w:eastAsia="宋体" w:cs="宋体"/>
                <w:color w:val="000000"/>
                <w:kern w:val="0"/>
                <w:sz w:val="22"/>
                <w:szCs w:val="22"/>
                <w:lang w:bidi="ar"/>
              </w:rPr>
              <w:t>0</w:t>
            </w:r>
          </w:p>
        </w:tc>
        <w:tc>
          <w:tcPr>
            <w:tcW w:w="6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团队人员具有国家级资格证书每个得4分，其它资格证书每个得2分。最高1</w:t>
            </w:r>
            <w:r>
              <w:rPr>
                <w:rFonts w:ascii="宋体" w:hAnsi="宋体" w:eastAsia="宋体" w:cs="宋体"/>
                <w:color w:val="000000"/>
                <w:kern w:val="0"/>
                <w:sz w:val="22"/>
                <w:szCs w:val="22"/>
                <w:lang w:bidi="ar"/>
              </w:rPr>
              <w:t>0</w:t>
            </w:r>
            <w:r>
              <w:rPr>
                <w:rFonts w:hint="eastAsia" w:ascii="宋体" w:hAnsi="宋体" w:eastAsia="宋体" w:cs="宋体"/>
                <w:color w:val="000000"/>
                <w:kern w:val="0"/>
                <w:sz w:val="22"/>
                <w:szCs w:val="22"/>
                <w:lang w:bidi="ar"/>
              </w:rPr>
              <w:t>分，；</w:t>
            </w:r>
          </w:p>
        </w:tc>
      </w:tr>
      <w:tr>
        <w:tblPrEx>
          <w:tblLayout w:type="fixed"/>
          <w:tblCellMar>
            <w:top w:w="0" w:type="dxa"/>
            <w:left w:w="0" w:type="dxa"/>
            <w:bottom w:w="0" w:type="dxa"/>
            <w:right w:w="0" w:type="dxa"/>
          </w:tblCellMar>
        </w:tblPrEx>
        <w:trPr>
          <w:trHeight w:val="600" w:hRule="atLeast"/>
        </w:trPr>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w:t>
            </w:r>
          </w:p>
        </w:tc>
        <w:tc>
          <w:tcPr>
            <w:tcW w:w="1000" w:type="dxa"/>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实施方案（40分）</w:t>
            </w:r>
          </w:p>
        </w:tc>
        <w:tc>
          <w:tcPr>
            <w:tcW w:w="10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实施方案</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40</w:t>
            </w:r>
          </w:p>
        </w:tc>
        <w:tc>
          <w:tcPr>
            <w:tcW w:w="6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横向比较各合作运营方对项目理解程度、实施方案是否合理可行：</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优：40-31分；良得：30-21分；中：20-11分；差得：10-1分。</w:t>
            </w:r>
          </w:p>
        </w:tc>
      </w:tr>
      <w:tr>
        <w:tblPrEx>
          <w:tblLayout w:type="fixed"/>
          <w:tblCellMar>
            <w:top w:w="0" w:type="dxa"/>
            <w:left w:w="0" w:type="dxa"/>
            <w:bottom w:w="0" w:type="dxa"/>
            <w:right w:w="0" w:type="dxa"/>
          </w:tblCellMar>
        </w:tblPrEx>
        <w:trPr>
          <w:trHeight w:val="1315" w:hRule="atLeast"/>
        </w:trPr>
        <w:tc>
          <w:tcPr>
            <w:tcW w:w="6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报价得分（30分）</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报价情况</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6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（1)保底营业收入基准价为56400元/月。</w:t>
            </w:r>
            <w:r>
              <w:rPr>
                <w:rFonts w:hint="eastAsia" w:ascii="宋体" w:hAnsi="宋体" w:eastAsia="宋体" w:cs="宋体"/>
                <w:color w:val="000000"/>
                <w:kern w:val="0"/>
                <w:sz w:val="22"/>
                <w:szCs w:val="22"/>
                <w:lang w:bidi="ar"/>
              </w:rPr>
              <w:br w:type="textWrapping"/>
            </w:r>
            <w:r>
              <w:rPr>
                <w:rFonts w:hint="eastAsia" w:ascii="宋体" w:hAnsi="宋体" w:eastAsia="宋体" w:cs="宋体"/>
                <w:color w:val="000000"/>
                <w:kern w:val="0"/>
                <w:sz w:val="22"/>
                <w:szCs w:val="22"/>
                <w:lang w:bidi="ar"/>
              </w:rPr>
              <w:t>（2)</w:t>
            </w:r>
            <w:r>
              <w:rPr>
                <w:rFonts w:hint="eastAsia" w:ascii="宋体" w:hAnsi="宋体" w:eastAsia="宋体" w:cs="宋体"/>
                <w:color w:val="000000"/>
                <w:kern w:val="0"/>
                <w:sz w:val="22"/>
                <w:szCs w:val="22"/>
                <w:highlight w:val="none"/>
                <w:lang w:bidi="ar"/>
              </w:rPr>
              <w:t>以基准价为标准，报价等于基准价的得2</w:t>
            </w:r>
            <w:r>
              <w:rPr>
                <w:rFonts w:ascii="宋体" w:hAnsi="宋体" w:eastAsia="宋体" w:cs="宋体"/>
                <w:color w:val="000000"/>
                <w:kern w:val="0"/>
                <w:sz w:val="22"/>
                <w:szCs w:val="22"/>
                <w:highlight w:val="none"/>
                <w:lang w:bidi="ar"/>
              </w:rPr>
              <w:t>0</w:t>
            </w:r>
            <w:r>
              <w:rPr>
                <w:rFonts w:hint="eastAsia" w:ascii="宋体" w:hAnsi="宋体" w:eastAsia="宋体" w:cs="宋体"/>
                <w:color w:val="000000"/>
                <w:kern w:val="0"/>
                <w:sz w:val="22"/>
                <w:szCs w:val="22"/>
                <w:highlight w:val="none"/>
                <w:lang w:bidi="ar"/>
              </w:rPr>
              <w:t>分，高于基准价1%低于3%，得2</w:t>
            </w:r>
            <w:r>
              <w:rPr>
                <w:rFonts w:ascii="宋体" w:hAnsi="宋体" w:eastAsia="宋体" w:cs="宋体"/>
                <w:color w:val="000000"/>
                <w:kern w:val="0"/>
                <w:sz w:val="22"/>
                <w:szCs w:val="22"/>
                <w:highlight w:val="none"/>
                <w:lang w:bidi="ar"/>
              </w:rPr>
              <w:t>4</w:t>
            </w:r>
            <w:r>
              <w:rPr>
                <w:rFonts w:hint="eastAsia" w:ascii="宋体" w:hAnsi="宋体" w:eastAsia="宋体" w:cs="宋体"/>
                <w:color w:val="000000"/>
                <w:kern w:val="0"/>
                <w:sz w:val="22"/>
                <w:szCs w:val="22"/>
                <w:highlight w:val="none"/>
                <w:lang w:bidi="ar"/>
              </w:rPr>
              <w:t>分；高于基准价3%低于5%，得2</w:t>
            </w:r>
            <w:r>
              <w:rPr>
                <w:rFonts w:ascii="宋体" w:hAnsi="宋体" w:eastAsia="宋体" w:cs="宋体"/>
                <w:color w:val="000000"/>
                <w:kern w:val="0"/>
                <w:sz w:val="22"/>
                <w:szCs w:val="22"/>
                <w:highlight w:val="none"/>
                <w:lang w:bidi="ar"/>
              </w:rPr>
              <w:t>6</w:t>
            </w:r>
            <w:r>
              <w:rPr>
                <w:rFonts w:hint="eastAsia" w:ascii="宋体" w:hAnsi="宋体" w:eastAsia="宋体" w:cs="宋体"/>
                <w:color w:val="000000"/>
                <w:kern w:val="0"/>
                <w:sz w:val="22"/>
                <w:szCs w:val="22"/>
                <w:highlight w:val="none"/>
                <w:lang w:bidi="ar"/>
              </w:rPr>
              <w:t>分，高于基准价5%低于7%以上，得</w:t>
            </w:r>
            <w:r>
              <w:rPr>
                <w:rFonts w:ascii="宋体" w:hAnsi="宋体" w:eastAsia="宋体" w:cs="宋体"/>
                <w:color w:val="000000"/>
                <w:kern w:val="0"/>
                <w:sz w:val="22"/>
                <w:szCs w:val="22"/>
                <w:highlight w:val="none"/>
                <w:lang w:bidi="ar"/>
              </w:rPr>
              <w:t>28</w:t>
            </w:r>
            <w:r>
              <w:rPr>
                <w:rFonts w:hint="eastAsia" w:ascii="宋体" w:hAnsi="宋体" w:eastAsia="宋体" w:cs="宋体"/>
                <w:color w:val="000000"/>
                <w:kern w:val="0"/>
                <w:sz w:val="22"/>
                <w:szCs w:val="22"/>
                <w:highlight w:val="none"/>
                <w:lang w:bidi="ar"/>
              </w:rPr>
              <w:t>分。高于基准价</w:t>
            </w:r>
            <w:r>
              <w:rPr>
                <w:rFonts w:ascii="宋体" w:hAnsi="宋体" w:eastAsia="宋体" w:cs="宋体"/>
                <w:color w:val="000000"/>
                <w:kern w:val="0"/>
                <w:sz w:val="22"/>
                <w:szCs w:val="22"/>
                <w:highlight w:val="none"/>
                <w:lang w:bidi="ar"/>
              </w:rPr>
              <w:t>7</w:t>
            </w:r>
            <w:r>
              <w:rPr>
                <w:rFonts w:hint="eastAsia" w:ascii="宋体" w:hAnsi="宋体" w:eastAsia="宋体" w:cs="宋体"/>
                <w:color w:val="000000"/>
                <w:kern w:val="0"/>
                <w:sz w:val="22"/>
                <w:szCs w:val="22"/>
                <w:highlight w:val="none"/>
                <w:lang w:bidi="ar"/>
              </w:rPr>
              <w:t>%（含），得</w:t>
            </w:r>
            <w:r>
              <w:rPr>
                <w:rFonts w:ascii="宋体" w:hAnsi="宋体" w:eastAsia="宋体" w:cs="宋体"/>
                <w:color w:val="000000"/>
                <w:kern w:val="0"/>
                <w:sz w:val="22"/>
                <w:szCs w:val="22"/>
                <w:highlight w:val="none"/>
                <w:lang w:bidi="ar"/>
              </w:rPr>
              <w:t>30</w:t>
            </w:r>
            <w:r>
              <w:rPr>
                <w:rFonts w:hint="eastAsia" w:ascii="宋体" w:hAnsi="宋体" w:eastAsia="宋体" w:cs="宋体"/>
                <w:color w:val="000000"/>
                <w:kern w:val="0"/>
                <w:sz w:val="22"/>
                <w:szCs w:val="22"/>
                <w:highlight w:val="none"/>
                <w:lang w:bidi="ar"/>
              </w:rPr>
              <w:t>分，低于基准价得5分。</w:t>
            </w:r>
          </w:p>
        </w:tc>
      </w:tr>
      <w:tr>
        <w:tblPrEx>
          <w:tblLayout w:type="fixed"/>
          <w:tblCellMar>
            <w:top w:w="0" w:type="dxa"/>
            <w:left w:w="0" w:type="dxa"/>
            <w:bottom w:w="0" w:type="dxa"/>
            <w:right w:w="0" w:type="dxa"/>
          </w:tblCellMar>
        </w:tblPrEx>
        <w:trPr>
          <w:trHeight w:val="518" w:hRule="atLeast"/>
        </w:trPr>
        <w:tc>
          <w:tcPr>
            <w:tcW w:w="26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总得分</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6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szCs w:val="22"/>
              </w:rPr>
            </w:pPr>
          </w:p>
        </w:tc>
      </w:tr>
    </w:tbl>
    <w:p>
      <w:pPr>
        <w:widowControl/>
        <w:numPr>
          <w:ilvl w:val="255"/>
          <w:numId w:val="0"/>
        </w:numPr>
        <w:spacing w:line="560" w:lineRule="exact"/>
        <w:jc w:val="left"/>
        <w:rPr>
          <w:rFonts w:ascii="仿宋" w:hAnsi="仿宋" w:eastAsia="仿宋" w:cs="仿宋"/>
          <w:sz w:val="28"/>
          <w:szCs w:val="36"/>
        </w:rPr>
      </w:pPr>
      <w:r>
        <w:rPr>
          <w:rFonts w:hint="eastAsia" w:ascii="仿宋" w:hAnsi="仿宋" w:eastAsia="仿宋" w:cs="仿宋"/>
          <w:b/>
          <w:bCs/>
          <w:sz w:val="28"/>
          <w:szCs w:val="36"/>
        </w:rPr>
        <w:t>附件3</w:t>
      </w:r>
    </w:p>
    <w:p>
      <w:pPr>
        <w:jc w:val="center"/>
        <w:rPr>
          <w:rFonts w:ascii="黑体" w:hAnsi="黑体" w:eastAsia="黑体" w:cs="黑体"/>
          <w:b/>
          <w:sz w:val="32"/>
          <w:szCs w:val="32"/>
        </w:rPr>
      </w:pPr>
      <w:r>
        <w:rPr>
          <w:rFonts w:hint="eastAsia" w:ascii="黑体" w:hAnsi="黑体" w:eastAsia="黑体" w:cs="黑体"/>
          <w:b/>
          <w:sz w:val="32"/>
          <w:szCs w:val="32"/>
        </w:rPr>
        <w:t>资格审查表</w:t>
      </w:r>
    </w:p>
    <w:tbl>
      <w:tblPr>
        <w:tblStyle w:val="7"/>
        <w:tblW w:w="9127" w:type="dxa"/>
        <w:tblInd w:w="-267" w:type="dxa"/>
        <w:tblLayout w:type="fixed"/>
        <w:tblCellMar>
          <w:top w:w="0" w:type="dxa"/>
          <w:left w:w="0" w:type="dxa"/>
          <w:bottom w:w="0" w:type="dxa"/>
          <w:right w:w="0" w:type="dxa"/>
        </w:tblCellMar>
      </w:tblPr>
      <w:tblGrid>
        <w:gridCol w:w="517"/>
        <w:gridCol w:w="8610"/>
      </w:tblGrid>
      <w:tr>
        <w:tblPrEx>
          <w:tblLayout w:type="fixed"/>
          <w:tblCellMar>
            <w:top w:w="0" w:type="dxa"/>
            <w:left w:w="0" w:type="dxa"/>
            <w:bottom w:w="0" w:type="dxa"/>
            <w:right w:w="0" w:type="dxa"/>
          </w:tblCellMar>
        </w:tblPrEx>
        <w:trPr>
          <w:trHeight w:val="66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序号</w:t>
            </w:r>
          </w:p>
        </w:tc>
        <w:tc>
          <w:tcPr>
            <w:tcW w:w="8610"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 xml:space="preserve">                                                                    审查项目</w:t>
            </w:r>
          </w:p>
        </w:tc>
      </w:tr>
      <w:tr>
        <w:tblPrEx>
          <w:tblLayout w:type="fixed"/>
          <w:tblCellMar>
            <w:top w:w="0" w:type="dxa"/>
            <w:left w:w="0" w:type="dxa"/>
            <w:bottom w:w="0" w:type="dxa"/>
            <w:right w:w="0" w:type="dxa"/>
          </w:tblCellMar>
        </w:tblPrEx>
        <w:trPr>
          <w:trHeight w:val="540" w:hRule="atLeast"/>
        </w:trPr>
        <w:tc>
          <w:tcPr>
            <w:tcW w:w="517"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8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响应人法定代表人身份证正反面复印件</w:t>
            </w:r>
          </w:p>
        </w:tc>
      </w:tr>
      <w:tr>
        <w:tblPrEx>
          <w:tblLayout w:type="fixed"/>
          <w:tblCellMar>
            <w:top w:w="0" w:type="dxa"/>
            <w:left w:w="0" w:type="dxa"/>
            <w:bottom w:w="0" w:type="dxa"/>
            <w:right w:w="0" w:type="dxa"/>
          </w:tblCellMar>
        </w:tblPrEx>
        <w:trPr>
          <w:trHeight w:val="660" w:hRule="atLeast"/>
        </w:trPr>
        <w:tc>
          <w:tcPr>
            <w:tcW w:w="51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8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响应人的法人授权委托书原件、委托代理人身份证正反面复印件（委托代理时必须提供）</w:t>
            </w:r>
          </w:p>
        </w:tc>
      </w:tr>
      <w:tr>
        <w:tblPrEx>
          <w:tblLayout w:type="fixed"/>
          <w:tblCellMar>
            <w:top w:w="0" w:type="dxa"/>
            <w:left w:w="0" w:type="dxa"/>
            <w:bottom w:w="0" w:type="dxa"/>
            <w:right w:w="0" w:type="dxa"/>
          </w:tblCellMar>
        </w:tblPrEx>
        <w:trPr>
          <w:trHeight w:val="480" w:hRule="atLeast"/>
        </w:trPr>
        <w:tc>
          <w:tcPr>
            <w:tcW w:w="51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8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响应人的营业执照副本复印件</w:t>
            </w:r>
          </w:p>
        </w:tc>
      </w:tr>
      <w:tr>
        <w:tblPrEx>
          <w:tblLayout w:type="fixed"/>
          <w:tblCellMar>
            <w:top w:w="0" w:type="dxa"/>
            <w:left w:w="0" w:type="dxa"/>
            <w:bottom w:w="0" w:type="dxa"/>
            <w:right w:w="0" w:type="dxa"/>
          </w:tblCellMar>
        </w:tblPrEx>
        <w:trPr>
          <w:trHeight w:val="540" w:hRule="atLeast"/>
        </w:trPr>
        <w:tc>
          <w:tcPr>
            <w:tcW w:w="51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8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响应人在“信用中国”网站(www.creditchina.gov.cn)的信用查询页面打印文件</w:t>
            </w:r>
          </w:p>
        </w:tc>
      </w:tr>
      <w:tr>
        <w:tblPrEx>
          <w:tblLayout w:type="fixed"/>
          <w:tblCellMar>
            <w:top w:w="0" w:type="dxa"/>
            <w:left w:w="0" w:type="dxa"/>
            <w:bottom w:w="0" w:type="dxa"/>
            <w:right w:w="0" w:type="dxa"/>
          </w:tblCellMar>
        </w:tblPrEx>
        <w:trPr>
          <w:trHeight w:val="660" w:hRule="atLeast"/>
        </w:trPr>
        <w:tc>
          <w:tcPr>
            <w:tcW w:w="51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8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响应人参加本采购活动前3年内在经营活动中没有重大违法记录的书面声明</w:t>
            </w:r>
          </w:p>
        </w:tc>
      </w:tr>
      <w:tr>
        <w:tblPrEx>
          <w:tblLayout w:type="fixed"/>
          <w:tblCellMar>
            <w:top w:w="0" w:type="dxa"/>
            <w:left w:w="0" w:type="dxa"/>
            <w:bottom w:w="0" w:type="dxa"/>
            <w:right w:w="0" w:type="dxa"/>
          </w:tblCellMar>
        </w:tblPrEx>
        <w:trPr>
          <w:trHeight w:val="518" w:hRule="atLeast"/>
        </w:trPr>
        <w:tc>
          <w:tcPr>
            <w:tcW w:w="51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8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意向方按规定的格式及内容要求签署了《承诺意向书》。</w:t>
            </w:r>
          </w:p>
        </w:tc>
      </w:tr>
      <w:tr>
        <w:tblPrEx>
          <w:tblLayout w:type="fixed"/>
          <w:tblCellMar>
            <w:top w:w="0" w:type="dxa"/>
            <w:left w:w="0" w:type="dxa"/>
            <w:bottom w:w="0" w:type="dxa"/>
            <w:right w:w="0" w:type="dxa"/>
          </w:tblCellMar>
        </w:tblPrEx>
        <w:trPr>
          <w:trHeight w:val="518" w:hRule="atLeast"/>
        </w:trPr>
        <w:tc>
          <w:tcPr>
            <w:tcW w:w="51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7</w:t>
            </w:r>
          </w:p>
        </w:tc>
        <w:tc>
          <w:tcPr>
            <w:tcW w:w="8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谈判保证金转账凭证</w:t>
            </w:r>
          </w:p>
        </w:tc>
      </w:tr>
    </w:tbl>
    <w:p>
      <w:pPr>
        <w:jc w:val="left"/>
        <w:rPr>
          <w:rFonts w:ascii="黑体" w:hAnsi="黑体" w:eastAsia="黑体" w:cs="黑体"/>
          <w:bCs/>
          <w:sz w:val="32"/>
          <w:szCs w:val="32"/>
        </w:rPr>
      </w:pPr>
    </w:p>
    <w:p>
      <w:pPr>
        <w:jc w:val="center"/>
      </w:pPr>
      <w:r>
        <w:rPr>
          <w:rFonts w:hint="eastAsia" w:ascii="黑体" w:hAnsi="黑体" w:eastAsia="黑体" w:cs="黑体"/>
          <w:b/>
          <w:sz w:val="32"/>
          <w:szCs w:val="32"/>
        </w:rPr>
        <w:t>综合评分表</w:t>
      </w:r>
    </w:p>
    <w:p>
      <w:pPr>
        <w:tabs>
          <w:tab w:val="left" w:pos="3548"/>
        </w:tabs>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w:panose1 w:val="02010601000101010101"/>
    <w:charset w:val="88"/>
    <w:family w:val="auto"/>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4F2D"/>
    <w:multiLevelType w:val="singleLevel"/>
    <w:tmpl w:val="28234F2D"/>
    <w:lvl w:ilvl="0" w:tentative="0">
      <w:start w:val="1"/>
      <w:numFmt w:val="decimal"/>
      <w:lvlText w:val="%1."/>
      <w:lvlJc w:val="left"/>
      <w:pPr>
        <w:tabs>
          <w:tab w:val="left" w:pos="312"/>
        </w:tabs>
      </w:pPr>
    </w:lvl>
  </w:abstractNum>
  <w:abstractNum w:abstractNumId="1">
    <w:nsid w:val="460AF61E"/>
    <w:multiLevelType w:val="singleLevel"/>
    <w:tmpl w:val="460AF61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NWM4ZmNiNjNmNjVhMzMwZjI2NmYxOTM0NzFmZDEifQ=="/>
  </w:docVars>
  <w:rsids>
    <w:rsidRoot w:val="7367101D"/>
    <w:rsid w:val="000D63B5"/>
    <w:rsid w:val="00231ECC"/>
    <w:rsid w:val="00340900"/>
    <w:rsid w:val="004510BC"/>
    <w:rsid w:val="004876AA"/>
    <w:rsid w:val="00502A67"/>
    <w:rsid w:val="00554A8D"/>
    <w:rsid w:val="005D5234"/>
    <w:rsid w:val="00740CD5"/>
    <w:rsid w:val="00742223"/>
    <w:rsid w:val="00773B56"/>
    <w:rsid w:val="007759B1"/>
    <w:rsid w:val="008823F6"/>
    <w:rsid w:val="00890544"/>
    <w:rsid w:val="008B4854"/>
    <w:rsid w:val="0096092A"/>
    <w:rsid w:val="00A248B9"/>
    <w:rsid w:val="00A6623E"/>
    <w:rsid w:val="00A84158"/>
    <w:rsid w:val="00AA526F"/>
    <w:rsid w:val="00BD489B"/>
    <w:rsid w:val="00C11969"/>
    <w:rsid w:val="00C722FB"/>
    <w:rsid w:val="00D2157E"/>
    <w:rsid w:val="00D6313A"/>
    <w:rsid w:val="00D718BF"/>
    <w:rsid w:val="00EE0185"/>
    <w:rsid w:val="00FC6708"/>
    <w:rsid w:val="00FE43E6"/>
    <w:rsid w:val="03993022"/>
    <w:rsid w:val="0DCC66C2"/>
    <w:rsid w:val="0FF7738C"/>
    <w:rsid w:val="2EAB43F0"/>
    <w:rsid w:val="33935A20"/>
    <w:rsid w:val="5C9E1783"/>
    <w:rsid w:val="5F676F21"/>
    <w:rsid w:val="7127467B"/>
    <w:rsid w:val="7367101D"/>
    <w:rsid w:val="7B663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9"/>
    <w:pPr>
      <w:keepNext/>
      <w:keepLines/>
      <w:spacing w:after="424" w:line="261" w:lineRule="auto"/>
      <w:ind w:left="10" w:hanging="10"/>
      <w:jc w:val="center"/>
      <w:outlineLvl w:val="0"/>
    </w:pPr>
    <w:rPr>
      <w:rFonts w:ascii="宋体" w:hAnsi="宋体" w:eastAsia="宋体" w:cs="宋体"/>
      <w:color w:val="000000"/>
      <w:kern w:val="2"/>
      <w:sz w:val="3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Plain Text"/>
    <w:qFormat/>
    <w:uiPriority w:val="0"/>
    <w:pPr>
      <w:widowControl w:val="0"/>
      <w:jc w:val="both"/>
    </w:pPr>
    <w:rPr>
      <w:rFonts w:ascii="宋体" w:hAnsi="Courier New" w:eastAsiaTheme="minorEastAsia" w:cstheme="minorBidi"/>
      <w:kern w:val="2"/>
      <w:sz w:val="21"/>
      <w:lang w:val="en-US" w:eastAsia="zh-CN" w:bidi="ar-SA"/>
    </w:rPr>
  </w:style>
  <w:style w:type="paragraph" w:styleId="4">
    <w:name w:val="Balloon Text"/>
    <w:basedOn w:val="1"/>
    <w:link w:val="11"/>
    <w:uiPriority w:val="0"/>
    <w:rPr>
      <w:sz w:val="18"/>
      <w:szCs w:val="18"/>
    </w:rPr>
  </w:style>
  <w:style w:type="paragraph" w:styleId="5">
    <w:name w:val="footer"/>
    <w:qFormat/>
    <w:uiPriority w:val="0"/>
    <w:pPr>
      <w:widowControl w:val="0"/>
      <w:tabs>
        <w:tab w:val="center" w:pos="4153"/>
        <w:tab w:val="right" w:pos="8306"/>
      </w:tabs>
      <w:snapToGrid w:val="0"/>
    </w:pPr>
    <w:rPr>
      <w:rFonts w:asciiTheme="minorHAnsi" w:hAnsiTheme="minorHAnsi" w:eastAsiaTheme="minorEastAsia" w:cstheme="minorBidi"/>
      <w:kern w:val="2"/>
      <w:sz w:val="18"/>
      <w:szCs w:val="18"/>
      <w:lang w:val="en-US" w:eastAsia="zh-CN" w:bidi="ar-SA"/>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Body text|1"/>
    <w:qFormat/>
    <w:uiPriority w:val="0"/>
    <w:pPr>
      <w:widowControl w:val="0"/>
      <w:spacing w:line="432" w:lineRule="auto"/>
      <w:jc w:val="both"/>
    </w:pPr>
    <w:rPr>
      <w:rFonts w:ascii="宋体" w:hAnsi="宋体" w:eastAsia="宋体" w:cs="宋体"/>
      <w:kern w:val="2"/>
      <w:sz w:val="22"/>
      <w:szCs w:val="22"/>
      <w:lang w:val="zh-TW" w:eastAsia="zh-TW" w:bidi="zh-TW"/>
    </w:rPr>
  </w:style>
  <w:style w:type="character" w:customStyle="1" w:styleId="10">
    <w:name w:val="页眉 字符"/>
    <w:basedOn w:val="8"/>
    <w:link w:val="6"/>
    <w:uiPriority w:val="0"/>
    <w:rPr>
      <w:rFonts w:asciiTheme="minorHAnsi" w:hAnsiTheme="minorHAnsi" w:eastAsiaTheme="minorEastAsia" w:cstheme="minorBidi"/>
      <w:kern w:val="2"/>
      <w:sz w:val="18"/>
      <w:szCs w:val="18"/>
    </w:rPr>
  </w:style>
  <w:style w:type="character" w:customStyle="1" w:styleId="11">
    <w:name w:val="批注框文本 字符"/>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10387</Words>
  <Characters>1324</Characters>
  <Lines>11</Lines>
  <Paragraphs>23</Paragraphs>
  <TotalTime>156</TotalTime>
  <ScaleCrop>false</ScaleCrop>
  <LinksUpToDate>false</LinksUpToDate>
  <CharactersWithSpaces>11688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2022-06-21T14:13:00Z</dcterms:created>
  <dc:creator>dell</dc:creator>
  <cp:lastModifiedBy>dell</cp:lastModifiedBy>
  <dcterms:modified xsi:type="dcterms:W3CDTF">2022-06-24T06:55:29Z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867885F839F64F0A90B9C610CDE7EA08</vt:lpwstr>
  </property>
</Properties>
</file>